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2F265" w14:textId="77777777" w:rsidR="00E7438F" w:rsidRPr="00595401" w:rsidRDefault="00E7438F" w:rsidP="00E7438F">
      <w:pPr>
        <w:tabs>
          <w:tab w:val="left" w:pos="7938"/>
        </w:tabs>
        <w:autoSpaceDE w:val="0"/>
        <w:spacing w:line="360" w:lineRule="auto"/>
        <w:rPr>
          <w:rFonts w:cs="Arial"/>
          <w:b/>
          <w:bCs/>
          <w:sz w:val="28"/>
        </w:rPr>
      </w:pPr>
      <w:r w:rsidRPr="00595401">
        <w:rPr>
          <w:b/>
          <w:sz w:val="28"/>
        </w:rPr>
        <w:t>HBM esittelee uuden momenttianturin</w:t>
      </w:r>
    </w:p>
    <w:p w14:paraId="0609F512" w14:textId="5BFCA1FB" w:rsidR="00E7438F" w:rsidRPr="00595401" w:rsidRDefault="00E7438F" w:rsidP="00E7438F">
      <w:pPr>
        <w:tabs>
          <w:tab w:val="left" w:pos="7938"/>
        </w:tabs>
        <w:autoSpaceDE w:val="0"/>
        <w:spacing w:after="240" w:line="360" w:lineRule="auto"/>
        <w:ind w:right="1134"/>
        <w:rPr>
          <w:rFonts w:cs="Arial"/>
          <w:b/>
          <w:bCs/>
          <w:i/>
        </w:rPr>
      </w:pPr>
      <w:r w:rsidRPr="00595401">
        <w:rPr>
          <w:b/>
          <w:i/>
        </w:rPr>
        <w:t>- T12HP asettaa uuden vaatimustason tarkkuudelle</w:t>
      </w:r>
    </w:p>
    <w:p w14:paraId="470B67FD" w14:textId="4ABFC0B3" w:rsidR="00A74CD7" w:rsidRPr="00595401" w:rsidRDefault="00247108" w:rsidP="00A74CD7">
      <w:pPr>
        <w:tabs>
          <w:tab w:val="left" w:pos="7938"/>
        </w:tabs>
        <w:autoSpaceDE w:val="0"/>
        <w:spacing w:line="276" w:lineRule="auto"/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Testaus- ja mittausteknologian markkinajohtaja </w:t>
      </w:r>
      <w:r w:rsidR="00E7438F" w:rsidRPr="00595401">
        <w:rPr>
          <w:rFonts w:ascii="Arial" w:hAnsi="Arial"/>
          <w:b/>
          <w:sz w:val="22"/>
        </w:rPr>
        <w:t>HBM esittelee uuden momenttianturin, T12HP, joka tuo erinomaisen tarkkuuden ja huippuluokan suorituskyvyn dynaamisiin mittauksiin. Uusi T12HP soveltuu testipenkkeihin autotekniikan, tuulivoiman ja off-shore-teollisuuden mittauskohteissa, joissa tarkkuus on erittäin tärkeää.</w:t>
      </w:r>
    </w:p>
    <w:p w14:paraId="1BA13472" w14:textId="77777777" w:rsidR="00E7438F" w:rsidRPr="00595401" w:rsidRDefault="00E7438F" w:rsidP="00E7438F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</w:p>
    <w:p w14:paraId="56BAE535" w14:textId="3E43ED38" w:rsidR="00B557B6" w:rsidRPr="00595401" w:rsidRDefault="004960B5" w:rsidP="00B557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hyperlink r:id="rId7" w:history="1">
        <w:r w:rsidR="00243F69" w:rsidRPr="005F4FD8">
          <w:rPr>
            <w:rStyle w:val="Hyperlinkki"/>
            <w:rFonts w:ascii="Arial" w:hAnsi="Arial"/>
            <w:sz w:val="22"/>
            <w:shd w:val="clear" w:color="auto" w:fill="FFFFFF"/>
          </w:rPr>
          <w:t>T12HP</w:t>
        </w:r>
      </w:hyperlink>
      <w:r w:rsidR="00243F69" w:rsidRPr="00595401">
        <w:rPr>
          <w:rFonts w:ascii="Arial" w:hAnsi="Arial"/>
          <w:sz w:val="22"/>
          <w:shd w:val="clear" w:color="auto" w:fill="FFFFFF"/>
        </w:rPr>
        <w:t>-momenttianturin </w:t>
      </w:r>
      <w:r w:rsidR="00243F69" w:rsidRPr="00595401">
        <w:rPr>
          <w:rFonts w:ascii="Arial" w:hAnsi="Arial"/>
          <w:sz w:val="22"/>
        </w:rPr>
        <w:t xml:space="preserve">tarkkuus on koko mittausalueella parempi kuin yhdelläkään standardimallisella kahden alueen momenttianturilla, mikä johtuu sen erinomaisesta lämpötilavakaudesta ja FlexRange™-ominaisuudesta. T12HP ei vaadi mittausalueen vaihtoa kuten tavanomaiset kahden alueen anturit. </w:t>
      </w:r>
    </w:p>
    <w:p w14:paraId="169C4BAD" w14:textId="77777777" w:rsidR="00B557B6" w:rsidRPr="00595401" w:rsidRDefault="00B557B6" w:rsidP="00B557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789C41D" w14:textId="308B4615" w:rsidR="00893431" w:rsidRPr="00595401" w:rsidRDefault="00B557B6" w:rsidP="00B557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95401">
        <w:rPr>
          <w:rFonts w:ascii="Arial" w:hAnsi="Arial"/>
          <w:sz w:val="22"/>
        </w:rPr>
        <w:t>"Pohjoismaiden asiakkaamme osoittavat yhä kasvavaa mielenkiintoa tarkkoihin mittauksiin.</w:t>
      </w:r>
    </w:p>
    <w:p w14:paraId="050FDAD5" w14:textId="1B6447FE" w:rsidR="00B557B6" w:rsidRPr="00595401" w:rsidRDefault="00B557B6" w:rsidP="00B557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95401">
        <w:rPr>
          <w:rFonts w:ascii="Arial" w:hAnsi="Arial"/>
          <w:sz w:val="22"/>
        </w:rPr>
        <w:t>Tuotekehityksen yhä pienemmillä marginaaleilla pienetkin parannukset vo</w:t>
      </w:r>
      <w:r w:rsidR="001C2ECB" w:rsidRPr="00595401">
        <w:rPr>
          <w:rFonts w:ascii="Arial" w:hAnsi="Arial"/>
          <w:sz w:val="22"/>
        </w:rPr>
        <w:t xml:space="preserve">ivat saada aikaan suuren eron. </w:t>
      </w:r>
      <w:r w:rsidRPr="00595401">
        <w:rPr>
          <w:rFonts w:ascii="Arial" w:hAnsi="Arial"/>
          <w:sz w:val="22"/>
        </w:rPr>
        <w:t>Suuri tarkkuus on siten avaintekijä uuden tuotteen testauksessa. Tämä uusi momenttianturi tulee todelliseen tarpeeseen, sillä se kattaa koko mittausalueen yhdellä monitoimimomenttianturilla", sanoo</w:t>
      </w:r>
      <w:r w:rsidR="00247108">
        <w:rPr>
          <w:rFonts w:ascii="Arial" w:hAnsi="Arial"/>
          <w:sz w:val="22"/>
        </w:rPr>
        <w:t xml:space="preserve"> Jyri Niinistö HBM Finlandista.</w:t>
      </w:r>
      <w:r w:rsidRPr="00595401">
        <w:rPr>
          <w:rFonts w:ascii="Arial" w:hAnsi="Arial"/>
          <w:sz w:val="22"/>
        </w:rPr>
        <w:t xml:space="preserve"> </w:t>
      </w:r>
    </w:p>
    <w:p w14:paraId="6B277666" w14:textId="77777777" w:rsidR="00036383" w:rsidRPr="00595401" w:rsidRDefault="00036383" w:rsidP="00FA75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40230D8" w14:textId="1476B87D" w:rsidR="00036383" w:rsidRPr="00595401" w:rsidRDefault="00B557B6" w:rsidP="00036383">
      <w:pPr>
        <w:pStyle w:val="NormaaliWWW"/>
        <w:spacing w:before="0" w:beforeAutospacing="0" w:after="180" w:afterAutospacing="0" w:line="360" w:lineRule="auto"/>
        <w:rPr>
          <w:rFonts w:ascii="Arial" w:hAnsi="Arial" w:cs="Arial"/>
          <w:sz w:val="22"/>
          <w:szCs w:val="22"/>
        </w:rPr>
      </w:pPr>
      <w:r w:rsidRPr="00595401">
        <w:rPr>
          <w:rFonts w:ascii="Arial" w:hAnsi="Arial"/>
          <w:sz w:val="22"/>
        </w:rPr>
        <w:t xml:space="preserve">T12HP voidaan yhdistää helposti erilaisiin koepenkkiratkaisuihin CAN-, PROFIBUS-, EtherCAT- ja PROFINET-liitäntöjen avulla. T12HP yhdistää digitaalisignaalien joustavuuden </w:t>
      </w:r>
      <w:r w:rsidR="00B65F86">
        <w:rPr>
          <w:rFonts w:ascii="Arial" w:hAnsi="Arial"/>
          <w:sz w:val="22"/>
        </w:rPr>
        <w:t>kantoaalto</w:t>
      </w:r>
      <w:r w:rsidR="00B65F86" w:rsidRPr="00595401">
        <w:rPr>
          <w:rFonts w:ascii="Arial" w:hAnsi="Arial"/>
          <w:sz w:val="22"/>
        </w:rPr>
        <w:t xml:space="preserve">vahvistettujen </w:t>
      </w:r>
      <w:r w:rsidRPr="00595401">
        <w:rPr>
          <w:rFonts w:ascii="Arial" w:hAnsi="Arial"/>
          <w:sz w:val="22"/>
        </w:rPr>
        <w:t xml:space="preserve">mittausten tarkkuuteen ilman </w:t>
      </w:r>
      <w:proofErr w:type="spellStart"/>
      <w:r w:rsidRPr="00595401">
        <w:rPr>
          <w:rFonts w:ascii="Arial" w:hAnsi="Arial"/>
          <w:sz w:val="22"/>
        </w:rPr>
        <w:t>data-</w:t>
      </w:r>
      <w:proofErr w:type="spellEnd"/>
      <w:r w:rsidRPr="00595401">
        <w:rPr>
          <w:rFonts w:ascii="Arial" w:hAnsi="Arial"/>
          <w:sz w:val="22"/>
        </w:rPr>
        <w:t xml:space="preserve"> tai tarkkuushäviöitä. T12HP Assistant ja CAN-parametrointi ovat käyttäjäystävällisiä työkaluja, jotka mahdollistavat helpon kokoonpanojen määrityksen. </w:t>
      </w:r>
    </w:p>
    <w:p w14:paraId="53BD5158" w14:textId="12448FD8" w:rsidR="003D2436" w:rsidRPr="00595401" w:rsidRDefault="00B557B6" w:rsidP="00B557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95401">
        <w:rPr>
          <w:rFonts w:ascii="Arial" w:hAnsi="Arial"/>
          <w:sz w:val="22"/>
        </w:rPr>
        <w:t xml:space="preserve">Uusi momenttianturi tuottaa minimaalisen lineaarisuuspoikkeaman, mukaan lukien </w:t>
      </w:r>
      <w:r w:rsidR="00165D70" w:rsidRPr="00595401">
        <w:rPr>
          <w:rFonts w:ascii="Arial" w:hAnsi="Arial"/>
          <w:sz w:val="22"/>
        </w:rPr>
        <w:t xml:space="preserve">0,007 % </w:t>
      </w:r>
      <w:bookmarkStart w:id="0" w:name="_GoBack"/>
      <w:bookmarkEnd w:id="0"/>
      <w:r w:rsidRPr="00ED65D1">
        <w:rPr>
          <w:rFonts w:ascii="Arial" w:hAnsi="Arial"/>
          <w:sz w:val="22"/>
        </w:rPr>
        <w:t>hystereesi</w:t>
      </w:r>
      <w:r w:rsidR="00ED65D1" w:rsidRPr="00ED65D1">
        <w:rPr>
          <w:rFonts w:ascii="Arial" w:hAnsi="Arial"/>
          <w:sz w:val="22"/>
        </w:rPr>
        <w:t>n</w:t>
      </w:r>
      <w:r w:rsidRPr="00ED65D1">
        <w:rPr>
          <w:rFonts w:ascii="Arial" w:hAnsi="Arial"/>
          <w:sz w:val="22"/>
        </w:rPr>
        <w:t xml:space="preserve"> </w:t>
      </w:r>
      <w:r w:rsidRPr="00595401">
        <w:rPr>
          <w:rFonts w:ascii="Arial" w:hAnsi="Arial"/>
          <w:sz w:val="22"/>
        </w:rPr>
        <w:t>ja erinomai</w:t>
      </w:r>
      <w:r w:rsidR="002A2AE5">
        <w:rPr>
          <w:rFonts w:ascii="Arial" w:hAnsi="Arial"/>
          <w:sz w:val="22"/>
        </w:rPr>
        <w:t>s</w:t>
      </w:r>
      <w:r w:rsidRPr="00595401">
        <w:rPr>
          <w:rFonts w:ascii="Arial" w:hAnsi="Arial"/>
          <w:sz w:val="22"/>
        </w:rPr>
        <w:t>en lämpötilavakau</w:t>
      </w:r>
      <w:r w:rsidR="002A2AE5">
        <w:rPr>
          <w:rFonts w:ascii="Arial" w:hAnsi="Arial"/>
          <w:sz w:val="22"/>
        </w:rPr>
        <w:t>den</w:t>
      </w:r>
      <w:r w:rsidRPr="00595401">
        <w:rPr>
          <w:rFonts w:ascii="Arial" w:hAnsi="Arial"/>
          <w:sz w:val="22"/>
        </w:rPr>
        <w:t xml:space="preserve">, TC0 = 0,005 %/10 K. </w:t>
      </w:r>
      <w:r w:rsidR="002A2AE5">
        <w:rPr>
          <w:rFonts w:ascii="Arial" w:hAnsi="Arial"/>
          <w:sz w:val="22"/>
        </w:rPr>
        <w:t xml:space="preserve">Malleja löytyy </w:t>
      </w:r>
      <w:proofErr w:type="spellStart"/>
      <w:r w:rsidR="002A2AE5">
        <w:rPr>
          <w:rFonts w:ascii="Arial" w:hAnsi="Arial"/>
          <w:sz w:val="22"/>
        </w:rPr>
        <w:t>nominaalimomentilla</w:t>
      </w:r>
      <w:proofErr w:type="spellEnd"/>
      <w:r w:rsidRPr="00595401">
        <w:rPr>
          <w:rFonts w:ascii="Arial" w:hAnsi="Arial"/>
          <w:sz w:val="22"/>
        </w:rPr>
        <w:t xml:space="preserve"> 100 </w:t>
      </w:r>
      <w:proofErr w:type="spellStart"/>
      <w:r w:rsidRPr="00595401">
        <w:rPr>
          <w:rFonts w:ascii="Arial" w:hAnsi="Arial"/>
          <w:sz w:val="22"/>
        </w:rPr>
        <w:t>Nm</w:t>
      </w:r>
      <w:proofErr w:type="spellEnd"/>
      <w:r w:rsidRPr="00595401">
        <w:rPr>
          <w:rFonts w:ascii="Arial" w:hAnsi="Arial"/>
          <w:sz w:val="22"/>
        </w:rPr>
        <w:t xml:space="preserve"> - 10 </w:t>
      </w:r>
      <w:proofErr w:type="spellStart"/>
      <w:r w:rsidRPr="00595401">
        <w:rPr>
          <w:rFonts w:ascii="Arial" w:hAnsi="Arial"/>
          <w:sz w:val="22"/>
        </w:rPr>
        <w:t>kNm</w:t>
      </w:r>
      <w:proofErr w:type="spellEnd"/>
      <w:r w:rsidR="007B29F6">
        <w:rPr>
          <w:rFonts w:ascii="Arial" w:hAnsi="Arial"/>
          <w:sz w:val="22"/>
        </w:rPr>
        <w:t>,</w:t>
      </w:r>
      <w:r w:rsidRPr="00595401">
        <w:rPr>
          <w:rFonts w:ascii="Arial" w:hAnsi="Arial"/>
          <w:sz w:val="22"/>
        </w:rPr>
        <w:t xml:space="preserve"> </w:t>
      </w:r>
      <w:r w:rsidR="002A2AE5">
        <w:rPr>
          <w:rFonts w:ascii="Arial" w:hAnsi="Arial"/>
          <w:sz w:val="22"/>
        </w:rPr>
        <w:t>joiden</w:t>
      </w:r>
      <w:r w:rsidRPr="00595401">
        <w:rPr>
          <w:rFonts w:ascii="Arial" w:hAnsi="Arial"/>
          <w:sz w:val="22"/>
        </w:rPr>
        <w:t xml:space="preserve"> HBM-tarkkuusluokka on 0,02.</w:t>
      </w:r>
    </w:p>
    <w:p w14:paraId="443D9950" w14:textId="05DA65C1" w:rsidR="00A74CD7" w:rsidRPr="00247108" w:rsidRDefault="00247108" w:rsidP="00A74CD7">
      <w:pPr>
        <w:tabs>
          <w:tab w:val="left" w:pos="7938"/>
        </w:tabs>
        <w:autoSpaceDE w:val="0"/>
        <w:spacing w:line="276" w:lineRule="auto"/>
        <w:ind w:right="113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60D45530" wp14:editId="650B842C">
            <wp:simplePos x="0" y="0"/>
            <wp:positionH relativeFrom="column">
              <wp:posOffset>3175</wp:posOffset>
            </wp:positionH>
            <wp:positionV relativeFrom="paragraph">
              <wp:posOffset>5080</wp:posOffset>
            </wp:positionV>
            <wp:extent cx="5752465" cy="3827780"/>
            <wp:effectExtent l="0" t="0" r="0" b="7620"/>
            <wp:wrapTopAndBottom/>
            <wp:docPr id="1" name="Kuva 1" descr="../Downloads/unspecifi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unspecifie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  <w:r w:rsidR="00A74CD7" w:rsidRPr="00595401">
        <w:rPr>
          <w:i/>
          <w:sz w:val="20"/>
        </w:rPr>
        <w:t xml:space="preserve">Suuren tarkkuutensa ansiosta </w:t>
      </w:r>
      <w:proofErr w:type="spellStart"/>
      <w:r w:rsidR="00A74CD7" w:rsidRPr="00595401">
        <w:rPr>
          <w:i/>
          <w:sz w:val="20"/>
        </w:rPr>
        <w:t>HBM:n</w:t>
      </w:r>
      <w:proofErr w:type="spellEnd"/>
      <w:r w:rsidR="00A74CD7" w:rsidRPr="00595401">
        <w:rPr>
          <w:i/>
          <w:sz w:val="20"/>
        </w:rPr>
        <w:t xml:space="preserve"> uusi momenttianturi T12HP kasvattaa tarkkuutta ja optimoi dynaamisten koepenkkimittausten toiminnallisuuden autotekniikan, tuulivoiman ja off-shore-teollisuuden mittauskohteissa.</w:t>
      </w:r>
    </w:p>
    <w:p w14:paraId="30BC7361" w14:textId="267E4175" w:rsidR="00740400" w:rsidRPr="00595401" w:rsidRDefault="00740400" w:rsidP="00A74CD7">
      <w:pPr>
        <w:tabs>
          <w:tab w:val="left" w:pos="7938"/>
        </w:tabs>
        <w:autoSpaceDE w:val="0"/>
        <w:spacing w:line="276" w:lineRule="auto"/>
        <w:ind w:right="1134"/>
        <w:rPr>
          <w:rFonts w:cs="Arial"/>
          <w:b/>
          <w:sz w:val="22"/>
          <w:szCs w:val="22"/>
        </w:rPr>
      </w:pPr>
    </w:p>
    <w:p w14:paraId="0A2F63D0" w14:textId="77777777" w:rsidR="00A74CD7" w:rsidRPr="00595401" w:rsidRDefault="00A74CD7" w:rsidP="00A74CD7">
      <w:pPr>
        <w:tabs>
          <w:tab w:val="left" w:pos="7938"/>
        </w:tabs>
        <w:autoSpaceDE w:val="0"/>
        <w:spacing w:line="276" w:lineRule="auto"/>
        <w:ind w:right="1134"/>
        <w:rPr>
          <w:rFonts w:cs="Arial"/>
          <w:b/>
          <w:bCs/>
          <w:color w:val="0E0E0E"/>
          <w:sz w:val="22"/>
          <w:szCs w:val="22"/>
        </w:rPr>
      </w:pPr>
    </w:p>
    <w:p w14:paraId="4D4D3B54" w14:textId="77777777" w:rsidR="00247108" w:rsidRPr="0067373F" w:rsidRDefault="00247108" w:rsidP="00247108">
      <w:pPr>
        <w:rPr>
          <w:b/>
        </w:rPr>
      </w:pPr>
      <w:r w:rsidRPr="0067373F">
        <w:rPr>
          <w:b/>
        </w:rPr>
        <w:t>Lisätietoa:</w:t>
      </w:r>
    </w:p>
    <w:p w14:paraId="4FFA9D47" w14:textId="77777777" w:rsidR="00247108" w:rsidRDefault="00247108" w:rsidP="00247108">
      <w:pPr>
        <w:rPr>
          <w:sz w:val="22"/>
        </w:rPr>
      </w:pPr>
    </w:p>
    <w:p w14:paraId="26E9E460" w14:textId="544506B2" w:rsidR="00247108" w:rsidRPr="00247108" w:rsidRDefault="00247108" w:rsidP="00247108">
      <w:pPr>
        <w:rPr>
          <w:b/>
          <w:sz w:val="22"/>
        </w:rPr>
      </w:pPr>
      <w:r w:rsidRPr="00247108">
        <w:rPr>
          <w:b/>
          <w:sz w:val="22"/>
        </w:rPr>
        <w:t>Jyri Niinistö, HBM Finland</w:t>
      </w:r>
    </w:p>
    <w:p w14:paraId="75EB0F10" w14:textId="77777777" w:rsidR="00247108" w:rsidRPr="00247108" w:rsidRDefault="00247108" w:rsidP="00247108">
      <w:pPr>
        <w:rPr>
          <w:sz w:val="22"/>
        </w:rPr>
      </w:pPr>
      <w:r w:rsidRPr="00247108">
        <w:rPr>
          <w:sz w:val="22"/>
        </w:rPr>
        <w:t>Puhelin: 050 301 5621,</w:t>
      </w:r>
    </w:p>
    <w:p w14:paraId="55ADD0FF" w14:textId="77777777" w:rsidR="00247108" w:rsidRPr="00247108" w:rsidRDefault="00247108" w:rsidP="00247108">
      <w:pPr>
        <w:rPr>
          <w:sz w:val="22"/>
        </w:rPr>
      </w:pPr>
      <w:r w:rsidRPr="00247108">
        <w:rPr>
          <w:sz w:val="22"/>
        </w:rPr>
        <w:t>Sähköposti: jyri.niinisto@hbm.com</w:t>
      </w:r>
    </w:p>
    <w:p w14:paraId="0837ADF7" w14:textId="77777777" w:rsidR="00247108" w:rsidRPr="00247108" w:rsidRDefault="00247108" w:rsidP="00247108">
      <w:pPr>
        <w:rPr>
          <w:sz w:val="22"/>
        </w:rPr>
      </w:pPr>
    </w:p>
    <w:p w14:paraId="5B19A2B6" w14:textId="77777777" w:rsidR="00247108" w:rsidRPr="00247108" w:rsidRDefault="00247108" w:rsidP="00247108">
      <w:pPr>
        <w:rPr>
          <w:b/>
          <w:sz w:val="22"/>
        </w:rPr>
      </w:pPr>
      <w:r w:rsidRPr="00247108">
        <w:rPr>
          <w:b/>
          <w:sz w:val="22"/>
        </w:rPr>
        <w:t>Harri Kammonen, viestintätoimisto Manifesto</w:t>
      </w:r>
    </w:p>
    <w:p w14:paraId="018412FD" w14:textId="77777777" w:rsidR="00247108" w:rsidRPr="00247108" w:rsidRDefault="00247108" w:rsidP="00247108">
      <w:pPr>
        <w:rPr>
          <w:sz w:val="22"/>
        </w:rPr>
      </w:pPr>
      <w:r w:rsidRPr="00247108">
        <w:rPr>
          <w:sz w:val="22"/>
        </w:rPr>
        <w:t>Lehdistökontaktit</w:t>
      </w:r>
    </w:p>
    <w:p w14:paraId="42D9127B" w14:textId="77777777" w:rsidR="00247108" w:rsidRPr="00247108" w:rsidRDefault="00247108" w:rsidP="00247108">
      <w:pPr>
        <w:rPr>
          <w:sz w:val="22"/>
        </w:rPr>
      </w:pPr>
      <w:r w:rsidRPr="00247108">
        <w:rPr>
          <w:sz w:val="22"/>
        </w:rPr>
        <w:t>Puhelin: + 358 40 500 1120</w:t>
      </w:r>
    </w:p>
    <w:p w14:paraId="1CA6D6B9" w14:textId="77777777" w:rsidR="00247108" w:rsidRPr="0067373F" w:rsidRDefault="00247108" w:rsidP="00247108">
      <w:pPr>
        <w:rPr>
          <w:sz w:val="22"/>
        </w:rPr>
      </w:pPr>
      <w:r w:rsidRPr="0067373F">
        <w:rPr>
          <w:sz w:val="22"/>
        </w:rPr>
        <w:t>Sähköposti: harri.kammonen@manifesto.fi</w:t>
      </w:r>
    </w:p>
    <w:p w14:paraId="47883493" w14:textId="77777777" w:rsidR="00247108" w:rsidRPr="0067373F" w:rsidRDefault="00247108" w:rsidP="00247108">
      <w:pPr>
        <w:rPr>
          <w:sz w:val="22"/>
        </w:rPr>
      </w:pPr>
    </w:p>
    <w:p w14:paraId="5C707CAA" w14:textId="77777777" w:rsidR="00247108" w:rsidRPr="0067373F" w:rsidRDefault="00247108" w:rsidP="00247108">
      <w:pPr>
        <w:rPr>
          <w:sz w:val="22"/>
        </w:rPr>
      </w:pPr>
    </w:p>
    <w:p w14:paraId="4F55BC2D" w14:textId="77777777" w:rsidR="00247108" w:rsidRPr="0067373F" w:rsidRDefault="00247108" w:rsidP="00247108">
      <w:pPr>
        <w:rPr>
          <w:b/>
          <w:i/>
          <w:sz w:val="22"/>
        </w:rPr>
      </w:pPr>
      <w:r w:rsidRPr="0067373F">
        <w:rPr>
          <w:b/>
          <w:i/>
          <w:sz w:val="22"/>
        </w:rPr>
        <w:t>HBM Test and Measurement</w:t>
      </w:r>
    </w:p>
    <w:p w14:paraId="2720DCD8" w14:textId="77777777" w:rsidR="00247108" w:rsidRPr="0067373F" w:rsidRDefault="00247108" w:rsidP="00247108">
      <w:pPr>
        <w:rPr>
          <w:i/>
          <w:sz w:val="22"/>
        </w:rPr>
      </w:pPr>
    </w:p>
    <w:p w14:paraId="7E6787D3" w14:textId="2E854C33" w:rsidR="008A505B" w:rsidRPr="00247108" w:rsidRDefault="00247108" w:rsidP="00247108">
      <w:pPr>
        <w:rPr>
          <w:i/>
        </w:rPr>
      </w:pPr>
      <w:r w:rsidRPr="00247108">
        <w:rPr>
          <w:i/>
          <w:sz w:val="22"/>
        </w:rPr>
        <w:t>Vuonna 1950 Saksassa perustettu Hottinger Baldwin Messtechnik (HBM Test and Measurement) on testaus- ja mittaustoimialan teknologia- ja markkinajohtaja. HBM:n tuotevalikoima sisältää ratkaisuja kaikkiin mittausketjun vaiheisiin virtuaalisesta testauksesta fyysiseen testaukseen. HBM:llä on tuotantolaitoksia Saksassa, Yhdysvalloissa ja Kiinassa, ja yhtiön palveluksessa on 1 700 työntekijää. HBM on per</w:t>
      </w:r>
      <w:r w:rsidR="005F4FD8">
        <w:rPr>
          <w:i/>
          <w:sz w:val="22"/>
        </w:rPr>
        <w:t>ustettu vuonna 1950 Saksassa ja</w:t>
      </w:r>
      <w:r w:rsidRPr="00247108">
        <w:rPr>
          <w:i/>
          <w:sz w:val="22"/>
        </w:rPr>
        <w:t xml:space="preserve"> se on edustettuna 80 maassa eri puolilla maailmaa, myös Suomessa.</w:t>
      </w:r>
    </w:p>
    <w:sectPr w:rsidR="008A505B" w:rsidRPr="00247108" w:rsidSect="002471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FDB3E" w14:textId="77777777" w:rsidR="004960B5" w:rsidRDefault="004960B5" w:rsidP="00E7438F">
      <w:r>
        <w:separator/>
      </w:r>
    </w:p>
  </w:endnote>
  <w:endnote w:type="continuationSeparator" w:id="0">
    <w:p w14:paraId="680D0DF1" w14:textId="77777777" w:rsidR="004960B5" w:rsidRDefault="004960B5" w:rsidP="00E7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46873" w14:textId="77777777" w:rsidR="004960B5" w:rsidRDefault="004960B5" w:rsidP="00E7438F">
      <w:r>
        <w:separator/>
      </w:r>
    </w:p>
  </w:footnote>
  <w:footnote w:type="continuationSeparator" w:id="0">
    <w:p w14:paraId="5FF1A0B2" w14:textId="77777777" w:rsidR="004960B5" w:rsidRDefault="004960B5" w:rsidP="00E7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587BCA"/>
    <w:multiLevelType w:val="multilevel"/>
    <w:tmpl w:val="79006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27866"/>
    <w:multiLevelType w:val="hybridMultilevel"/>
    <w:tmpl w:val="72EC3C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A2838"/>
    <w:multiLevelType w:val="multilevel"/>
    <w:tmpl w:val="5F526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5B"/>
    <w:rsid w:val="00036383"/>
    <w:rsid w:val="00060581"/>
    <w:rsid w:val="00165D70"/>
    <w:rsid w:val="001C2ECB"/>
    <w:rsid w:val="001E504E"/>
    <w:rsid w:val="00243F69"/>
    <w:rsid w:val="00247108"/>
    <w:rsid w:val="0025445D"/>
    <w:rsid w:val="002A2AE5"/>
    <w:rsid w:val="002B58C8"/>
    <w:rsid w:val="002C1E6F"/>
    <w:rsid w:val="002E3156"/>
    <w:rsid w:val="002F5EE6"/>
    <w:rsid w:val="003D2436"/>
    <w:rsid w:val="004960B5"/>
    <w:rsid w:val="004A3D88"/>
    <w:rsid w:val="00536D7A"/>
    <w:rsid w:val="00595401"/>
    <w:rsid w:val="005A5A67"/>
    <w:rsid w:val="005B77DA"/>
    <w:rsid w:val="005F19F5"/>
    <w:rsid w:val="005F4FD8"/>
    <w:rsid w:val="0067373F"/>
    <w:rsid w:val="006C2CC8"/>
    <w:rsid w:val="006D3743"/>
    <w:rsid w:val="006E576F"/>
    <w:rsid w:val="00712A33"/>
    <w:rsid w:val="00740400"/>
    <w:rsid w:val="00766EA7"/>
    <w:rsid w:val="007B29F6"/>
    <w:rsid w:val="00801F8F"/>
    <w:rsid w:val="00817B46"/>
    <w:rsid w:val="00821551"/>
    <w:rsid w:val="008717B1"/>
    <w:rsid w:val="00893431"/>
    <w:rsid w:val="008A505B"/>
    <w:rsid w:val="00A50E3B"/>
    <w:rsid w:val="00A74CD7"/>
    <w:rsid w:val="00AA65A4"/>
    <w:rsid w:val="00AD55B3"/>
    <w:rsid w:val="00B557B6"/>
    <w:rsid w:val="00B65F86"/>
    <w:rsid w:val="00BC374D"/>
    <w:rsid w:val="00BD2D9D"/>
    <w:rsid w:val="00C37591"/>
    <w:rsid w:val="00C72E15"/>
    <w:rsid w:val="00C85B0B"/>
    <w:rsid w:val="00E442ED"/>
    <w:rsid w:val="00E7438F"/>
    <w:rsid w:val="00ED65D1"/>
    <w:rsid w:val="00F71B25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A7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fi-FI" w:bidi="fi-FI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0363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E7438F"/>
    <w:rPr>
      <w:sz w:val="16"/>
      <w:szCs w:val="16"/>
    </w:rPr>
  </w:style>
  <w:style w:type="paragraph" w:styleId="Kommentinteksti">
    <w:name w:val="annotation text"/>
    <w:basedOn w:val="Normaali"/>
    <w:link w:val="KommentintekstiMerkki"/>
    <w:uiPriority w:val="99"/>
    <w:semiHidden/>
    <w:unhideWhenUsed/>
    <w:rsid w:val="00E7438F"/>
    <w:rPr>
      <w:rFonts w:ascii="Arial" w:eastAsia="Times New Roman" w:hAnsi="Arial" w:cs="Times New Roman"/>
      <w:sz w:val="20"/>
      <w:szCs w:val="20"/>
    </w:rPr>
  </w:style>
  <w:style w:type="character" w:customStyle="1" w:styleId="KommentintekstiMerkki">
    <w:name w:val="Kommentin teksti Merkki"/>
    <w:basedOn w:val="Kappaleenoletusfontti"/>
    <w:link w:val="Kommentinteksti"/>
    <w:uiPriority w:val="99"/>
    <w:semiHidden/>
    <w:rsid w:val="00E7438F"/>
    <w:rPr>
      <w:rFonts w:ascii="Arial" w:eastAsia="Times New Roman" w:hAnsi="Arial" w:cs="Times New Roman"/>
      <w:sz w:val="20"/>
      <w:szCs w:val="20"/>
      <w:lang w:val="fi-FI" w:eastAsia="fi-FI"/>
    </w:rPr>
  </w:style>
  <w:style w:type="paragraph" w:styleId="Loppuviitteenteksti">
    <w:name w:val="endnote text"/>
    <w:basedOn w:val="Normaali"/>
    <w:link w:val="LoppuviitteentekstiMerkki"/>
    <w:uiPriority w:val="99"/>
    <w:unhideWhenUsed/>
    <w:rsid w:val="00E7438F"/>
    <w:rPr>
      <w:rFonts w:ascii="Arial" w:eastAsia="Times New Roman" w:hAnsi="Arial" w:cs="Times New Roman"/>
    </w:rPr>
  </w:style>
  <w:style w:type="character" w:customStyle="1" w:styleId="LoppuviitteentekstiMerkki">
    <w:name w:val="Loppuviitteen teksti Merkki"/>
    <w:basedOn w:val="Kappaleenoletusfontti"/>
    <w:link w:val="Loppuviitteenteksti"/>
    <w:uiPriority w:val="99"/>
    <w:rsid w:val="00E7438F"/>
    <w:rPr>
      <w:rFonts w:ascii="Arial" w:eastAsia="Times New Roman" w:hAnsi="Arial" w:cs="Times New Roman"/>
      <w:lang w:val="fi-FI" w:eastAsia="fi-FI"/>
    </w:rPr>
  </w:style>
  <w:style w:type="character" w:styleId="Loppuviitteenviite">
    <w:name w:val="endnote reference"/>
    <w:basedOn w:val="Kappaleenoletusfontti"/>
    <w:uiPriority w:val="99"/>
    <w:unhideWhenUsed/>
    <w:rsid w:val="00E7438F"/>
    <w:rPr>
      <w:vertAlign w:val="superscript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E7438F"/>
    <w:rPr>
      <w:rFonts w:ascii="Times New Roman" w:hAnsi="Times New Roman" w:cs="Times New Roman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7438F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7438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7438F"/>
    <w:rPr>
      <w:color w:val="954F72" w:themeColor="followed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Merkki"/>
    <w:uiPriority w:val="99"/>
    <w:semiHidden/>
    <w:unhideWhenUsed/>
    <w:rsid w:val="00A74CD7"/>
    <w:rPr>
      <w:rFonts w:asciiTheme="minorHAnsi" w:eastAsiaTheme="minorHAnsi" w:hAnsiTheme="minorHAnsi" w:cstheme="minorBidi"/>
      <w:b/>
      <w:bCs/>
    </w:rPr>
  </w:style>
  <w:style w:type="character" w:customStyle="1" w:styleId="KommentinotsikkoMerkki">
    <w:name w:val="Kommentin otsikko Merkki"/>
    <w:basedOn w:val="KommentintekstiMerkki"/>
    <w:link w:val="Kommentinotsikko"/>
    <w:uiPriority w:val="99"/>
    <w:semiHidden/>
    <w:rsid w:val="00A74CD7"/>
    <w:rPr>
      <w:rFonts w:ascii="Arial" w:eastAsia="Times New Roman" w:hAnsi="Arial" w:cs="Times New Roman"/>
      <w:b/>
      <w:bCs/>
      <w:sz w:val="20"/>
      <w:szCs w:val="20"/>
      <w:lang w:val="fi-FI" w:eastAsia="fi-FI"/>
    </w:rPr>
  </w:style>
  <w:style w:type="character" w:customStyle="1" w:styleId="Otsikko1Merkki">
    <w:name w:val="Otsikko 1 Merkki"/>
    <w:basedOn w:val="Kappaleenoletusfontti"/>
    <w:link w:val="Otsikko1"/>
    <w:uiPriority w:val="9"/>
    <w:rsid w:val="00036383"/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363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Kappaleenoletusfontti"/>
    <w:rsid w:val="00036383"/>
  </w:style>
  <w:style w:type="character" w:styleId="Voimakas">
    <w:name w:val="Strong"/>
    <w:basedOn w:val="Kappaleenoletusfontti"/>
    <w:uiPriority w:val="22"/>
    <w:qFormat/>
    <w:rsid w:val="00036383"/>
    <w:rPr>
      <w:b/>
      <w:bCs/>
    </w:rPr>
  </w:style>
  <w:style w:type="paragraph" w:styleId="Luettelokappale">
    <w:name w:val="List Paragraph"/>
    <w:basedOn w:val="Normaali"/>
    <w:uiPriority w:val="34"/>
    <w:qFormat/>
    <w:rsid w:val="00C3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hbm.com/en/6678/press-release-t12hp-torque-transducer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www.dropbox.com/s/6m752weegokhlcy/tor_T12HP_003.jpg?dl=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2568</Characters>
  <Application>Microsoft Macintosh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Westlund</dc:creator>
  <cp:lastModifiedBy>Nina Jakonen</cp:lastModifiedBy>
  <cp:revision>6</cp:revision>
  <dcterms:created xsi:type="dcterms:W3CDTF">2017-02-09T14:43:00Z</dcterms:created>
  <dcterms:modified xsi:type="dcterms:W3CDTF">2017-02-16T09:10:00Z</dcterms:modified>
</cp:coreProperties>
</file>