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6A" w:rsidRDefault="0074446A" w:rsidP="0074446A"/>
    <w:tbl>
      <w:tblPr>
        <w:tblW w:w="9750" w:type="dxa"/>
        <w:tblCellSpacing w:w="22" w:type="dxa"/>
        <w:tblCellMar>
          <w:left w:w="0" w:type="dxa"/>
          <w:right w:w="0" w:type="dxa"/>
        </w:tblCellMar>
        <w:tblLook w:val="04A0" w:firstRow="1" w:lastRow="0" w:firstColumn="1" w:lastColumn="0" w:noHBand="0" w:noVBand="1"/>
      </w:tblPr>
      <w:tblGrid>
        <w:gridCol w:w="5593"/>
        <w:gridCol w:w="4157"/>
      </w:tblGrid>
      <w:tr w:rsidR="0074446A" w:rsidTr="0074446A">
        <w:trPr>
          <w:tblCellSpacing w:w="22" w:type="dxa"/>
        </w:trPr>
        <w:tc>
          <w:tcPr>
            <w:tcW w:w="9600" w:type="dxa"/>
            <w:gridSpan w:val="2"/>
            <w:tcMar>
              <w:top w:w="15" w:type="dxa"/>
              <w:left w:w="15" w:type="dxa"/>
              <w:bottom w:w="15" w:type="dxa"/>
              <w:right w:w="15" w:type="dxa"/>
            </w:tcMar>
            <w:vAlign w:val="center"/>
            <w:hideMark/>
          </w:tcPr>
          <w:p w:rsidR="0074446A" w:rsidRDefault="0074446A">
            <w:bookmarkStart w:id="0" w:name="_GoBack"/>
            <w:r>
              <w:rPr>
                <w:noProof/>
              </w:rPr>
              <w:drawing>
                <wp:inline distT="0" distB="0" distL="0" distR="0">
                  <wp:extent cx="952500" cy="809625"/>
                  <wp:effectExtent l="0" t="0" r="0" b="9525"/>
                  <wp:docPr id="2" name="Picture 2" descr="http://pr.ak.vresp.com/47e5c791a/www.ggcomm.com/HBM/HBM.jp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k.vresp.com/47e5c791a/www.ggcomm.com/HBM/HBM.jpg?__nocache_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bookmarkEnd w:id="0"/>
            <w:r>
              <w:br/>
              <w:t> </w:t>
            </w:r>
          </w:p>
        </w:tc>
      </w:tr>
      <w:tr w:rsidR="0074446A" w:rsidTr="0074446A">
        <w:trPr>
          <w:tblCellSpacing w:w="22" w:type="dxa"/>
        </w:trPr>
        <w:tc>
          <w:tcPr>
            <w:tcW w:w="4200" w:type="dxa"/>
            <w:tcMar>
              <w:top w:w="15" w:type="dxa"/>
              <w:left w:w="15" w:type="dxa"/>
              <w:bottom w:w="15" w:type="dxa"/>
              <w:right w:w="15" w:type="dxa"/>
            </w:tcMar>
            <w:vAlign w:val="center"/>
            <w:hideMark/>
          </w:tcPr>
          <w:p w:rsidR="0074446A" w:rsidRDefault="0074446A">
            <w:pPr>
              <w:pStyle w:val="NormalWeb"/>
            </w:pPr>
            <w:r>
              <w:rPr>
                <w:noProof/>
              </w:rPr>
              <w:drawing>
                <wp:inline distT="0" distB="0" distL="0" distR="0">
                  <wp:extent cx="2857500" cy="1905000"/>
                  <wp:effectExtent l="0" t="0" r="0" b="0"/>
                  <wp:docPr id="1" name="Picture 1" descr="http://pr.ak.vresp.com/cc6c17031/www.ggcomm.com/HBM/eDAQxr-1_lr.jp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k.vresp.com/cc6c17031/www.ggcomm.com/HBM/eDAQxr-1_lr.jpg?__nocache_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4446A" w:rsidRDefault="0074446A">
            <w:pPr>
              <w:pStyle w:val="NormalWeb"/>
            </w:pPr>
            <w:hyperlink r:id="rId8" w:history="1">
              <w:r>
                <w:rPr>
                  <w:rStyle w:val="Hyperlink"/>
                  <w:rFonts w:ascii="Roboto" w:hAnsi="Roboto"/>
                  <w:sz w:val="20"/>
                  <w:szCs w:val="20"/>
                </w:rPr>
                <w:t>Click here</w:t>
              </w:r>
            </w:hyperlink>
            <w:r>
              <w:rPr>
                <w:rFonts w:ascii="Roboto" w:hAnsi="Roboto"/>
                <w:sz w:val="20"/>
                <w:szCs w:val="20"/>
              </w:rPr>
              <w:t xml:space="preserve"> for high resolution image.</w:t>
            </w:r>
            <w:r>
              <w:br/>
            </w:r>
            <w:r>
              <w:rPr>
                <w:rFonts w:ascii="Franklin Gothic Medium" w:hAnsi="Franklin Gothic Medium"/>
                <w:sz w:val="18"/>
                <w:szCs w:val="18"/>
              </w:rPr>
              <w:t> </w:t>
            </w:r>
            <w:r>
              <w:br/>
              <w:t> </w:t>
            </w:r>
          </w:p>
        </w:tc>
        <w:tc>
          <w:tcPr>
            <w:tcW w:w="5400" w:type="dxa"/>
            <w:tcMar>
              <w:top w:w="15" w:type="dxa"/>
              <w:left w:w="15" w:type="dxa"/>
              <w:bottom w:w="15" w:type="dxa"/>
              <w:right w:w="15" w:type="dxa"/>
            </w:tcMar>
            <w:vAlign w:val="center"/>
            <w:hideMark/>
          </w:tcPr>
          <w:p w:rsidR="0074446A" w:rsidRDefault="0074446A">
            <w:pPr>
              <w:pStyle w:val="NormalWeb"/>
              <w:jc w:val="right"/>
            </w:pPr>
            <w:r>
              <w:rPr>
                <w:rFonts w:ascii="Franklin Gothic Medium" w:hAnsi="Franklin Gothic Medium"/>
                <w:b/>
                <w:bCs/>
                <w:u w:val="single"/>
              </w:rPr>
              <w:t>FOR IMMEDIATE RELEASE</w:t>
            </w:r>
          </w:p>
          <w:p w:rsidR="0074446A" w:rsidRDefault="0074446A">
            <w:pPr>
              <w:pStyle w:val="NormalWeb"/>
              <w:spacing w:before="0" w:beforeAutospacing="0" w:after="0" w:afterAutospacing="0"/>
              <w:ind w:left="240" w:right="360"/>
              <w:jc w:val="right"/>
            </w:pPr>
            <w:r>
              <w:t> </w:t>
            </w:r>
          </w:p>
          <w:p w:rsidR="0074446A" w:rsidRDefault="0074446A">
            <w:pPr>
              <w:pStyle w:val="NormalWeb"/>
              <w:jc w:val="right"/>
            </w:pPr>
            <w:r>
              <w:rPr>
                <w:rFonts w:ascii="Franklin Gothic Medium" w:hAnsi="Franklin Gothic Medium"/>
              </w:rPr>
              <w:t>Contact: John Sotirakos</w:t>
            </w:r>
            <w:r>
              <w:rPr>
                <w:rFonts w:ascii="Franklin Gothic Medium" w:hAnsi="Franklin Gothic Medium"/>
              </w:rPr>
              <w:br/>
              <w:t>508-804-3285</w:t>
            </w:r>
            <w:r>
              <w:rPr>
                <w:rFonts w:ascii="Franklin Gothic Medium" w:hAnsi="Franklin Gothic Medium"/>
              </w:rPr>
              <w:br/>
            </w:r>
            <w:hyperlink r:id="rId9" w:history="1">
              <w:r>
                <w:rPr>
                  <w:rStyle w:val="internetlink"/>
                  <w:rFonts w:ascii="Franklin Gothic Medium" w:hAnsi="Franklin Gothic Medium"/>
                </w:rPr>
                <w:t>john.sotirakos@hbm.com</w:t>
              </w:r>
            </w:hyperlink>
          </w:p>
          <w:p w:rsidR="0074446A" w:rsidRDefault="0074446A">
            <w:pPr>
              <w:spacing w:before="100" w:beforeAutospacing="1" w:after="100" w:afterAutospacing="1"/>
              <w:jc w:val="right"/>
            </w:pPr>
            <w:r>
              <w:t> </w:t>
            </w:r>
          </w:p>
          <w:p w:rsidR="0074446A" w:rsidRDefault="0074446A">
            <w:pPr>
              <w:spacing w:before="100" w:beforeAutospacing="1" w:after="100" w:afterAutospacing="1"/>
              <w:jc w:val="right"/>
            </w:pPr>
            <w:r>
              <w:t> </w:t>
            </w:r>
          </w:p>
        </w:tc>
      </w:tr>
      <w:tr w:rsidR="0074446A" w:rsidTr="0074446A">
        <w:trPr>
          <w:tblCellSpacing w:w="22" w:type="dxa"/>
        </w:trPr>
        <w:tc>
          <w:tcPr>
            <w:tcW w:w="0" w:type="auto"/>
            <w:gridSpan w:val="2"/>
            <w:tcMar>
              <w:top w:w="15" w:type="dxa"/>
              <w:left w:w="15" w:type="dxa"/>
              <w:bottom w:w="15" w:type="dxa"/>
              <w:right w:w="15" w:type="dxa"/>
            </w:tcMar>
            <w:vAlign w:val="center"/>
            <w:hideMark/>
          </w:tcPr>
          <w:p w:rsidR="0074446A" w:rsidRDefault="0074446A">
            <w:pPr>
              <w:pStyle w:val="NormalWeb"/>
              <w:spacing w:line="360" w:lineRule="auto"/>
              <w:jc w:val="center"/>
            </w:pPr>
            <w:r>
              <w:rPr>
                <w:rFonts w:ascii="Roboto" w:hAnsi="Roboto"/>
                <w:b/>
                <w:bCs/>
                <w:sz w:val="28"/>
                <w:szCs w:val="28"/>
              </w:rPr>
              <w:t xml:space="preserve">HBM Introduces The New </w:t>
            </w:r>
            <w:proofErr w:type="spellStart"/>
            <w:r>
              <w:rPr>
                <w:rFonts w:ascii="Roboto" w:hAnsi="Roboto"/>
                <w:b/>
                <w:bCs/>
                <w:sz w:val="28"/>
                <w:szCs w:val="28"/>
              </w:rPr>
              <w:t>Somat</w:t>
            </w:r>
            <w:proofErr w:type="spellEnd"/>
            <w:r>
              <w:rPr>
                <w:rFonts w:ascii="Roboto" w:hAnsi="Roboto"/>
                <w:b/>
                <w:bCs/>
                <w:sz w:val="28"/>
                <w:szCs w:val="28"/>
              </w:rPr>
              <w:t xml:space="preserve"> </w:t>
            </w:r>
            <w:proofErr w:type="spellStart"/>
            <w:r>
              <w:rPr>
                <w:rFonts w:ascii="Roboto" w:hAnsi="Roboto"/>
                <w:b/>
                <w:bCs/>
                <w:sz w:val="28"/>
                <w:szCs w:val="28"/>
              </w:rPr>
              <w:t>eDAQXR</w:t>
            </w:r>
            <w:proofErr w:type="spellEnd"/>
          </w:p>
          <w:p w:rsidR="0074446A" w:rsidRDefault="0074446A">
            <w:pPr>
              <w:pStyle w:val="NormalWeb"/>
              <w:spacing w:line="360" w:lineRule="auto"/>
              <w:jc w:val="center"/>
            </w:pPr>
            <w:r>
              <w:rPr>
                <w:rFonts w:ascii="Roboto" w:hAnsi="Roboto"/>
                <w:b/>
                <w:bCs/>
                <w:sz w:val="28"/>
                <w:szCs w:val="28"/>
              </w:rPr>
              <w:t>Rugged Mobile Data Acquisition System  </w:t>
            </w:r>
          </w:p>
        </w:tc>
      </w:tr>
      <w:tr w:rsidR="0074446A" w:rsidTr="0074446A">
        <w:trPr>
          <w:tblCellSpacing w:w="22" w:type="dxa"/>
        </w:trPr>
        <w:tc>
          <w:tcPr>
            <w:tcW w:w="0" w:type="auto"/>
            <w:gridSpan w:val="2"/>
            <w:tcMar>
              <w:top w:w="15" w:type="dxa"/>
              <w:left w:w="15" w:type="dxa"/>
              <w:bottom w:w="15" w:type="dxa"/>
              <w:right w:w="15" w:type="dxa"/>
            </w:tcMar>
            <w:vAlign w:val="center"/>
            <w:hideMark/>
          </w:tcPr>
          <w:p w:rsidR="0074446A" w:rsidRDefault="0074446A">
            <w:pPr>
              <w:pStyle w:val="NormalWeb"/>
              <w:spacing w:line="360" w:lineRule="auto"/>
            </w:pPr>
            <w:r>
              <w:br/>
            </w:r>
            <w:r>
              <w:rPr>
                <w:rFonts w:ascii="Roboto" w:hAnsi="Roboto"/>
                <w:b/>
                <w:bCs/>
                <w:sz w:val="20"/>
                <w:szCs w:val="20"/>
              </w:rPr>
              <w:t xml:space="preserve">Marlborough, Massachusetts </w:t>
            </w:r>
            <w:r>
              <w:rPr>
                <w:rFonts w:ascii="Roboto" w:hAnsi="Roboto"/>
                <w:b/>
                <w:bCs/>
                <w:sz w:val="20"/>
                <w:szCs w:val="20"/>
              </w:rPr>
              <w:t>— June 6, 2017 —</w:t>
            </w:r>
            <w:proofErr w:type="gramStart"/>
            <w:r>
              <w:rPr>
                <w:rFonts w:ascii="Roboto" w:hAnsi="Roboto"/>
                <w:sz w:val="20"/>
                <w:szCs w:val="20"/>
              </w:rPr>
              <w:t>  HBM</w:t>
            </w:r>
            <w:proofErr w:type="gramEnd"/>
            <w:r>
              <w:rPr>
                <w:rFonts w:ascii="Roboto" w:hAnsi="Roboto"/>
                <w:sz w:val="20"/>
                <w:szCs w:val="20"/>
              </w:rPr>
              <w:t>, Inc. (</w:t>
            </w:r>
            <w:hyperlink r:id="rId10" w:history="1">
              <w:r>
                <w:rPr>
                  <w:rStyle w:val="Hyperlink"/>
                  <w:rFonts w:ascii="Roboto" w:hAnsi="Roboto"/>
                  <w:color w:val="000080"/>
                  <w:sz w:val="20"/>
                  <w:szCs w:val="20"/>
                </w:rPr>
                <w:t>www.hbm.com</w:t>
              </w:r>
            </w:hyperlink>
            <w:r>
              <w:rPr>
                <w:rFonts w:ascii="Roboto" w:hAnsi="Roboto"/>
                <w:sz w:val="20"/>
                <w:szCs w:val="20"/>
              </w:rPr>
              <w:t xml:space="preserve">) announces its next generation of the company’s popular, ruggedized </w:t>
            </w:r>
            <w:proofErr w:type="spellStart"/>
            <w:r>
              <w:rPr>
                <w:rFonts w:ascii="Roboto" w:hAnsi="Roboto"/>
                <w:sz w:val="20"/>
                <w:szCs w:val="20"/>
              </w:rPr>
              <w:t>Somat</w:t>
            </w:r>
            <w:proofErr w:type="spellEnd"/>
            <w:r>
              <w:rPr>
                <w:rFonts w:ascii="Roboto" w:hAnsi="Roboto"/>
                <w:sz w:val="20"/>
                <w:szCs w:val="20"/>
              </w:rPr>
              <w:t xml:space="preserve"> </w:t>
            </w:r>
            <w:proofErr w:type="spellStart"/>
            <w:r>
              <w:rPr>
                <w:rFonts w:ascii="Roboto" w:hAnsi="Roboto"/>
                <w:sz w:val="20"/>
                <w:szCs w:val="20"/>
              </w:rPr>
              <w:t>eDAQ</w:t>
            </w:r>
            <w:proofErr w:type="spellEnd"/>
            <w:r>
              <w:rPr>
                <w:rFonts w:ascii="Roboto" w:hAnsi="Roboto"/>
                <w:sz w:val="20"/>
                <w:szCs w:val="20"/>
              </w:rPr>
              <w:t xml:space="preserve"> data acquisition solution, the </w:t>
            </w:r>
            <w:proofErr w:type="spellStart"/>
            <w:r>
              <w:rPr>
                <w:rFonts w:ascii="Roboto" w:hAnsi="Roboto"/>
                <w:sz w:val="20"/>
                <w:szCs w:val="20"/>
              </w:rPr>
              <w:t>Somat</w:t>
            </w:r>
            <w:proofErr w:type="spellEnd"/>
            <w:r>
              <w:rPr>
                <w:rFonts w:ascii="Roboto" w:hAnsi="Roboto"/>
                <w:sz w:val="20"/>
                <w:szCs w:val="20"/>
              </w:rPr>
              <w:t xml:space="preserve"> </w:t>
            </w:r>
            <w:proofErr w:type="spellStart"/>
            <w:r>
              <w:rPr>
                <w:rFonts w:ascii="Roboto" w:hAnsi="Roboto"/>
                <w:sz w:val="20"/>
                <w:szCs w:val="20"/>
              </w:rPr>
              <w:t>eDAQXR</w:t>
            </w:r>
            <w:proofErr w:type="spellEnd"/>
            <w:r>
              <w:rPr>
                <w:rFonts w:ascii="Roboto" w:hAnsi="Roboto"/>
                <w:sz w:val="20"/>
                <w:szCs w:val="20"/>
              </w:rPr>
              <w:t xml:space="preserve"> system. This offers </w:t>
            </w:r>
            <w:proofErr w:type="spellStart"/>
            <w:r>
              <w:rPr>
                <w:rFonts w:ascii="Roboto" w:hAnsi="Roboto"/>
                <w:sz w:val="20"/>
                <w:szCs w:val="20"/>
              </w:rPr>
              <w:t>eDAQ</w:t>
            </w:r>
            <w:proofErr w:type="spellEnd"/>
            <w:r>
              <w:rPr>
                <w:rFonts w:ascii="Roboto" w:hAnsi="Roboto"/>
                <w:sz w:val="20"/>
                <w:szCs w:val="20"/>
              </w:rPr>
              <w:t xml:space="preserve"> customers a simple migration path to the upgraded </w:t>
            </w:r>
            <w:proofErr w:type="spellStart"/>
            <w:r>
              <w:rPr>
                <w:rFonts w:ascii="Roboto" w:hAnsi="Roboto"/>
                <w:sz w:val="20"/>
                <w:szCs w:val="20"/>
              </w:rPr>
              <w:t>eDAQXR</w:t>
            </w:r>
            <w:proofErr w:type="spellEnd"/>
            <w:r>
              <w:rPr>
                <w:rFonts w:ascii="Roboto" w:hAnsi="Roboto"/>
                <w:sz w:val="20"/>
                <w:szCs w:val="20"/>
              </w:rPr>
              <w:t xml:space="preserve"> hardware and software tool.</w:t>
            </w:r>
            <w:r>
              <w:rPr>
                <w:rFonts w:ascii="Roboto" w:hAnsi="Roboto"/>
                <w:sz w:val="20"/>
                <w:szCs w:val="20"/>
              </w:rPr>
              <w:br/>
            </w:r>
            <w:r>
              <w:rPr>
                <w:rFonts w:ascii="Roboto" w:hAnsi="Roboto"/>
                <w:sz w:val="20"/>
                <w:szCs w:val="20"/>
              </w:rPr>
              <w:br/>
              <w:t xml:space="preserve">The </w:t>
            </w:r>
            <w:proofErr w:type="spellStart"/>
            <w:r>
              <w:rPr>
                <w:rFonts w:ascii="Roboto" w:hAnsi="Roboto"/>
                <w:sz w:val="20"/>
                <w:szCs w:val="20"/>
              </w:rPr>
              <w:t>eDAQXR</w:t>
            </w:r>
            <w:proofErr w:type="spellEnd"/>
            <w:r>
              <w:rPr>
                <w:rFonts w:ascii="Roboto" w:hAnsi="Roboto"/>
                <w:sz w:val="20"/>
                <w:szCs w:val="20"/>
              </w:rPr>
              <w:t xml:space="preserve"> will be </w:t>
            </w:r>
            <w:r>
              <w:rPr>
                <w:rFonts w:ascii="Roboto" w:hAnsi="Roboto"/>
                <w:sz w:val="20"/>
                <w:szCs w:val="20"/>
              </w:rPr>
              <w:t xml:space="preserve">a </w:t>
            </w:r>
            <w:r>
              <w:rPr>
                <w:rFonts w:ascii="Roboto" w:hAnsi="Roboto"/>
                <w:sz w:val="20"/>
                <w:szCs w:val="20"/>
              </w:rPr>
              <w:t xml:space="preserve">significantly smaller footprint than its </w:t>
            </w:r>
            <w:proofErr w:type="spellStart"/>
            <w:r>
              <w:rPr>
                <w:rFonts w:ascii="Roboto" w:hAnsi="Roboto"/>
                <w:sz w:val="20"/>
                <w:szCs w:val="20"/>
              </w:rPr>
              <w:t>eDAQ</w:t>
            </w:r>
            <w:proofErr w:type="spellEnd"/>
            <w:r>
              <w:rPr>
                <w:rFonts w:ascii="Roboto" w:hAnsi="Roboto"/>
                <w:sz w:val="20"/>
                <w:szCs w:val="20"/>
              </w:rPr>
              <w:t xml:space="preserve"> predecessor, but offers a more powerful processor, wider operating temperature range of -40 to 80 degrees C and a lower operating power requirement of 8-36 volts. The </w:t>
            </w:r>
            <w:proofErr w:type="spellStart"/>
            <w:r>
              <w:rPr>
                <w:rFonts w:ascii="Roboto" w:hAnsi="Roboto"/>
                <w:sz w:val="20"/>
                <w:szCs w:val="20"/>
              </w:rPr>
              <w:t>eDAQXR</w:t>
            </w:r>
            <w:proofErr w:type="spellEnd"/>
            <w:r>
              <w:rPr>
                <w:rFonts w:ascii="Roboto" w:hAnsi="Roboto"/>
                <w:sz w:val="20"/>
                <w:szCs w:val="20"/>
              </w:rPr>
              <w:t xml:space="preserve"> will remain a layered centralized data acquisition system, but will also have the ability to connect to remote </w:t>
            </w:r>
            <w:proofErr w:type="spellStart"/>
            <w:r>
              <w:rPr>
                <w:rFonts w:ascii="Roboto" w:hAnsi="Roboto"/>
                <w:sz w:val="20"/>
                <w:szCs w:val="20"/>
              </w:rPr>
              <w:t>SomatXR</w:t>
            </w:r>
            <w:proofErr w:type="spellEnd"/>
            <w:r>
              <w:rPr>
                <w:rFonts w:ascii="Roboto" w:hAnsi="Roboto"/>
                <w:sz w:val="20"/>
                <w:szCs w:val="20"/>
              </w:rPr>
              <w:t xml:space="preserve"> signal conditioning modules, making it a centralized or distributed system able to meet any testing requirements. On-board memory allows tests to run without a PC connected, and with the robust Linux operating system and built-in internal backup power, it is capable of running a one hour attended test or one month cross country test. The data just needs to be uploaded to a PC for analysis when the test is complete. </w:t>
            </w:r>
            <w:r>
              <w:rPr>
                <w:rFonts w:ascii="Roboto" w:hAnsi="Roboto"/>
                <w:sz w:val="20"/>
                <w:szCs w:val="20"/>
              </w:rPr>
              <w:br/>
            </w:r>
            <w:r>
              <w:rPr>
                <w:rFonts w:ascii="Roboto" w:hAnsi="Roboto"/>
                <w:sz w:val="20"/>
                <w:szCs w:val="20"/>
              </w:rPr>
              <w:br/>
              <w:t xml:space="preserve">The </w:t>
            </w:r>
            <w:proofErr w:type="spellStart"/>
            <w:r>
              <w:rPr>
                <w:rFonts w:ascii="Roboto" w:hAnsi="Roboto"/>
                <w:sz w:val="20"/>
                <w:szCs w:val="20"/>
              </w:rPr>
              <w:t>eDAQXR</w:t>
            </w:r>
            <w:proofErr w:type="spellEnd"/>
            <w:r>
              <w:rPr>
                <w:rFonts w:ascii="Roboto" w:hAnsi="Roboto"/>
                <w:sz w:val="20"/>
                <w:szCs w:val="20"/>
              </w:rPr>
              <w:t xml:space="preserve"> has been fully tested to MIL-STD202G – withstanding vibrations of 20G, and shock up to 75G – </w:t>
            </w:r>
            <w:r>
              <w:rPr>
                <w:rFonts w:ascii="Roboto" w:hAnsi="Roboto"/>
                <w:sz w:val="20"/>
                <w:szCs w:val="20"/>
              </w:rPr>
              <w:lastRenderedPageBreak/>
              <w:t>and is completely sealed to meet IP67/IP65 environmental standards.</w:t>
            </w:r>
            <w:r>
              <w:rPr>
                <w:rFonts w:ascii="Roboto" w:hAnsi="Roboto"/>
                <w:sz w:val="20"/>
                <w:szCs w:val="20"/>
              </w:rPr>
              <w:br/>
            </w:r>
            <w:r>
              <w:rPr>
                <w:rFonts w:ascii="Roboto" w:hAnsi="Roboto"/>
                <w:sz w:val="20"/>
                <w:szCs w:val="20"/>
              </w:rPr>
              <w:br/>
              <w:t xml:space="preserve">Current </w:t>
            </w:r>
            <w:proofErr w:type="spellStart"/>
            <w:r>
              <w:rPr>
                <w:rFonts w:ascii="Roboto" w:hAnsi="Roboto"/>
                <w:sz w:val="20"/>
                <w:szCs w:val="20"/>
              </w:rPr>
              <w:t>eDAQ</w:t>
            </w:r>
            <w:proofErr w:type="spellEnd"/>
            <w:r>
              <w:rPr>
                <w:rFonts w:ascii="Roboto" w:hAnsi="Roboto"/>
                <w:sz w:val="20"/>
                <w:szCs w:val="20"/>
              </w:rPr>
              <w:t xml:space="preserve"> customers can replace their existing processor with the new </w:t>
            </w:r>
            <w:proofErr w:type="spellStart"/>
            <w:r>
              <w:rPr>
                <w:rFonts w:ascii="Roboto" w:hAnsi="Roboto"/>
                <w:sz w:val="20"/>
                <w:szCs w:val="20"/>
              </w:rPr>
              <w:t>eDAQXR</w:t>
            </w:r>
            <w:proofErr w:type="spellEnd"/>
            <w:r>
              <w:rPr>
                <w:rFonts w:ascii="Roboto" w:hAnsi="Roboto"/>
                <w:sz w:val="20"/>
                <w:szCs w:val="20"/>
              </w:rPr>
              <w:t xml:space="preserve"> processor – EXRCPU. The EXRCPU is the first step in the migration to a smaller, and more powerful next generation rugged mobile data acquisition system, while at the same time protecting the investment </w:t>
            </w:r>
            <w:proofErr w:type="spellStart"/>
            <w:r>
              <w:rPr>
                <w:rFonts w:ascii="Roboto" w:hAnsi="Roboto"/>
                <w:sz w:val="20"/>
                <w:szCs w:val="20"/>
              </w:rPr>
              <w:t>eDAQ</w:t>
            </w:r>
            <w:proofErr w:type="spellEnd"/>
            <w:r>
              <w:rPr>
                <w:rFonts w:ascii="Roboto" w:hAnsi="Roboto"/>
                <w:sz w:val="20"/>
                <w:szCs w:val="20"/>
              </w:rPr>
              <w:t xml:space="preserve"> users have made in their current </w:t>
            </w:r>
            <w:proofErr w:type="spellStart"/>
            <w:r>
              <w:rPr>
                <w:rFonts w:ascii="Roboto" w:hAnsi="Roboto"/>
                <w:sz w:val="20"/>
                <w:szCs w:val="20"/>
              </w:rPr>
              <w:t>eDAQ</w:t>
            </w:r>
            <w:proofErr w:type="spellEnd"/>
            <w:r>
              <w:rPr>
                <w:rFonts w:ascii="Roboto" w:hAnsi="Roboto"/>
                <w:sz w:val="20"/>
                <w:szCs w:val="20"/>
              </w:rPr>
              <w:t xml:space="preserve"> signal conditioning layers. </w:t>
            </w:r>
            <w:r>
              <w:rPr>
                <w:rFonts w:ascii="Roboto" w:hAnsi="Roboto"/>
                <w:sz w:val="20"/>
                <w:szCs w:val="20"/>
              </w:rPr>
              <w:br/>
            </w:r>
            <w:r>
              <w:rPr>
                <w:rFonts w:ascii="Roboto" w:hAnsi="Roboto"/>
                <w:sz w:val="20"/>
                <w:szCs w:val="20"/>
              </w:rPr>
              <w:br/>
              <w:t xml:space="preserve">As the </w:t>
            </w:r>
            <w:proofErr w:type="spellStart"/>
            <w:r>
              <w:rPr>
                <w:rFonts w:ascii="Roboto" w:hAnsi="Roboto"/>
                <w:sz w:val="20"/>
                <w:szCs w:val="20"/>
              </w:rPr>
              <w:t>eDAQXR</w:t>
            </w:r>
            <w:proofErr w:type="spellEnd"/>
            <w:r>
              <w:rPr>
                <w:rFonts w:ascii="Roboto" w:hAnsi="Roboto"/>
                <w:sz w:val="20"/>
                <w:szCs w:val="20"/>
              </w:rPr>
              <w:t xml:space="preserve"> platform evolves, customers can mix their current </w:t>
            </w:r>
            <w:proofErr w:type="spellStart"/>
            <w:r>
              <w:rPr>
                <w:rFonts w:ascii="Roboto" w:hAnsi="Roboto"/>
                <w:sz w:val="20"/>
                <w:szCs w:val="20"/>
              </w:rPr>
              <w:t>eDAQ</w:t>
            </w:r>
            <w:proofErr w:type="spellEnd"/>
            <w:r>
              <w:rPr>
                <w:rFonts w:ascii="Roboto" w:hAnsi="Roboto"/>
                <w:sz w:val="20"/>
                <w:szCs w:val="20"/>
              </w:rPr>
              <w:t xml:space="preserve"> signal conditioning layers, with new </w:t>
            </w:r>
            <w:proofErr w:type="spellStart"/>
            <w:r>
              <w:rPr>
                <w:rFonts w:ascii="Roboto" w:hAnsi="Roboto"/>
                <w:sz w:val="20"/>
                <w:szCs w:val="20"/>
              </w:rPr>
              <w:t>eDAQXR</w:t>
            </w:r>
            <w:proofErr w:type="spellEnd"/>
            <w:r>
              <w:rPr>
                <w:rFonts w:ascii="Roboto" w:hAnsi="Roboto"/>
                <w:sz w:val="20"/>
                <w:szCs w:val="20"/>
              </w:rPr>
              <w:t xml:space="preserve"> signal conditioning layers, and also combine these with remote modules from the </w:t>
            </w:r>
            <w:proofErr w:type="spellStart"/>
            <w:r>
              <w:rPr>
                <w:rFonts w:ascii="Roboto" w:hAnsi="Roboto"/>
                <w:sz w:val="20"/>
                <w:szCs w:val="20"/>
              </w:rPr>
              <w:t>SomatXR</w:t>
            </w:r>
            <w:proofErr w:type="spellEnd"/>
            <w:r>
              <w:rPr>
                <w:rFonts w:ascii="Roboto" w:hAnsi="Roboto"/>
                <w:sz w:val="20"/>
                <w:szCs w:val="20"/>
              </w:rPr>
              <w:t xml:space="preserve"> platform, and maintain synchronization across all channels. </w:t>
            </w:r>
            <w:r>
              <w:rPr>
                <w:rFonts w:ascii="Roboto" w:hAnsi="Roboto"/>
                <w:sz w:val="20"/>
                <w:szCs w:val="20"/>
              </w:rPr>
              <w:br/>
            </w:r>
            <w:r>
              <w:rPr>
                <w:rFonts w:ascii="Roboto" w:hAnsi="Roboto"/>
                <w:sz w:val="20"/>
                <w:szCs w:val="20"/>
              </w:rPr>
              <w:br/>
              <w:t xml:space="preserve">Whether the need is to log CAN, video, temperatures, accelerations, strain gauges, digital, etc., the </w:t>
            </w:r>
            <w:proofErr w:type="spellStart"/>
            <w:r>
              <w:rPr>
                <w:rFonts w:ascii="Roboto" w:hAnsi="Roboto"/>
                <w:sz w:val="20"/>
                <w:szCs w:val="20"/>
              </w:rPr>
              <w:t>eDAQXR</w:t>
            </w:r>
            <w:proofErr w:type="spellEnd"/>
            <w:r>
              <w:rPr>
                <w:rFonts w:ascii="Roboto" w:hAnsi="Roboto"/>
                <w:sz w:val="20"/>
                <w:szCs w:val="20"/>
              </w:rPr>
              <w:t xml:space="preserve"> can collect one to hundreds of channels simultaneously in the harshest of environments. </w:t>
            </w:r>
            <w:r>
              <w:rPr>
                <w:rFonts w:ascii="Roboto" w:hAnsi="Roboto"/>
                <w:sz w:val="20"/>
                <w:szCs w:val="20"/>
              </w:rPr>
              <w:br/>
            </w:r>
            <w:r>
              <w:rPr>
                <w:rFonts w:ascii="Roboto" w:hAnsi="Roboto"/>
                <w:sz w:val="20"/>
                <w:szCs w:val="20"/>
              </w:rPr>
              <w:br/>
              <w:t xml:space="preserve">The </w:t>
            </w:r>
            <w:proofErr w:type="spellStart"/>
            <w:r>
              <w:rPr>
                <w:rFonts w:ascii="Roboto" w:hAnsi="Roboto"/>
                <w:sz w:val="20"/>
                <w:szCs w:val="20"/>
              </w:rPr>
              <w:t>eDAQXR</w:t>
            </w:r>
            <w:proofErr w:type="spellEnd"/>
            <w:r>
              <w:rPr>
                <w:rFonts w:ascii="Roboto" w:hAnsi="Roboto"/>
                <w:sz w:val="20"/>
                <w:szCs w:val="20"/>
              </w:rPr>
              <w:t xml:space="preserve"> also provides a new and powerful browser based software interface for setup and control of tests. No software is required to be installed. Whether on a PC, tablet or phone, a browser is all that is needed to configure, monitor or run a test. The software provides powerful tools like:</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Improved real time displays, such as strip charts, FFTs, digital displays, and tables</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Sensor database</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Excel import/export</w:t>
            </w:r>
          </w:p>
          <w:p w:rsidR="0074446A" w:rsidRDefault="0074446A" w:rsidP="006D14D2">
            <w:pPr>
              <w:numPr>
                <w:ilvl w:val="0"/>
                <w:numId w:val="1"/>
              </w:numPr>
              <w:spacing w:before="100" w:beforeAutospacing="1" w:after="100" w:afterAutospacing="1" w:line="360" w:lineRule="auto"/>
              <w:rPr>
                <w:rFonts w:eastAsia="Times New Roman"/>
              </w:rPr>
            </w:pPr>
            <w:proofErr w:type="spellStart"/>
            <w:r>
              <w:rPr>
                <w:rFonts w:ascii="Roboto" w:eastAsia="Times New Roman" w:hAnsi="Roboto"/>
                <w:sz w:val="20"/>
                <w:szCs w:val="20"/>
              </w:rPr>
              <w:t>CAN.dbc</w:t>
            </w:r>
            <w:proofErr w:type="spellEnd"/>
            <w:r>
              <w:rPr>
                <w:rFonts w:ascii="Roboto" w:eastAsia="Times New Roman" w:hAnsi="Roboto"/>
                <w:sz w:val="20"/>
                <w:szCs w:val="20"/>
              </w:rPr>
              <w:t xml:space="preserve"> files import</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Spreadsheet view of channel information for quick viewing and editing</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Wiring diagrams shown per channel at setup</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Common terminology used for easy learning curve from TCE</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Support for future vehicle bus networks</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Multiple users can access system to view real time data at the same time</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User profiles can be defined to protect setup</w:t>
            </w:r>
          </w:p>
          <w:p w:rsidR="0074446A" w:rsidRDefault="0074446A" w:rsidP="006D14D2">
            <w:pPr>
              <w:numPr>
                <w:ilvl w:val="0"/>
                <w:numId w:val="1"/>
              </w:numPr>
              <w:spacing w:before="100" w:beforeAutospacing="1" w:after="100" w:afterAutospacing="1" w:line="360" w:lineRule="auto"/>
              <w:rPr>
                <w:rFonts w:eastAsia="Times New Roman"/>
              </w:rPr>
            </w:pPr>
            <w:r>
              <w:rPr>
                <w:rFonts w:ascii="Roboto" w:eastAsia="Times New Roman" w:hAnsi="Roboto"/>
                <w:sz w:val="20"/>
                <w:szCs w:val="20"/>
              </w:rPr>
              <w:t>Emulator for off-line test setup</w:t>
            </w:r>
          </w:p>
          <w:p w:rsidR="0074446A" w:rsidRDefault="0074446A">
            <w:pPr>
              <w:spacing w:before="100" w:beforeAutospacing="1" w:after="120" w:line="360" w:lineRule="auto"/>
            </w:pPr>
            <w:r>
              <w:rPr>
                <w:rFonts w:ascii="Roboto" w:hAnsi="Roboto"/>
                <w:sz w:val="20"/>
                <w:szCs w:val="20"/>
              </w:rPr>
              <w:t xml:space="preserve">“The </w:t>
            </w:r>
            <w:proofErr w:type="spellStart"/>
            <w:r>
              <w:rPr>
                <w:rFonts w:ascii="Roboto" w:hAnsi="Roboto"/>
                <w:sz w:val="20"/>
                <w:szCs w:val="20"/>
              </w:rPr>
              <w:t>eDAQ</w:t>
            </w:r>
            <w:proofErr w:type="spellEnd"/>
            <w:r>
              <w:rPr>
                <w:rFonts w:ascii="Roboto" w:hAnsi="Roboto"/>
                <w:sz w:val="20"/>
                <w:szCs w:val="20"/>
              </w:rPr>
              <w:t xml:space="preserve"> has been a very successful data acquisition system for testing in harsh environments,” explains Walt </w:t>
            </w:r>
            <w:proofErr w:type="spellStart"/>
            <w:r>
              <w:rPr>
                <w:rFonts w:ascii="Roboto" w:hAnsi="Roboto"/>
                <w:sz w:val="20"/>
                <w:szCs w:val="20"/>
              </w:rPr>
              <w:t>Farchmin</w:t>
            </w:r>
            <w:proofErr w:type="spellEnd"/>
            <w:r>
              <w:rPr>
                <w:rFonts w:ascii="Roboto" w:hAnsi="Roboto"/>
                <w:sz w:val="20"/>
                <w:szCs w:val="20"/>
              </w:rPr>
              <w:t xml:space="preserve">, HBM Director of T&amp;M Sales and </w:t>
            </w:r>
            <w:proofErr w:type="spellStart"/>
            <w:r>
              <w:rPr>
                <w:rFonts w:ascii="Roboto" w:hAnsi="Roboto"/>
                <w:sz w:val="20"/>
                <w:szCs w:val="20"/>
              </w:rPr>
              <w:t>eDAQXR</w:t>
            </w:r>
            <w:proofErr w:type="spellEnd"/>
            <w:r>
              <w:rPr>
                <w:rFonts w:ascii="Roboto" w:hAnsi="Roboto"/>
                <w:sz w:val="20"/>
                <w:szCs w:val="20"/>
              </w:rPr>
              <w:t xml:space="preserve"> Product Manager. “We’re excited to offer the next generation rugged mobile data acquisition system that protects the investment that our loyal customers have made over the years, and at the same time offers the latest hardware and software technologies.”</w:t>
            </w:r>
            <w:r>
              <w:rPr>
                <w:rFonts w:ascii="Roboto" w:hAnsi="Roboto"/>
                <w:sz w:val="20"/>
                <w:szCs w:val="20"/>
              </w:rPr>
              <w:br/>
            </w:r>
            <w:r>
              <w:rPr>
                <w:rFonts w:ascii="Roboto" w:hAnsi="Roboto"/>
                <w:sz w:val="20"/>
                <w:szCs w:val="20"/>
              </w:rPr>
              <w:br/>
            </w:r>
            <w:proofErr w:type="spellStart"/>
            <w:r>
              <w:rPr>
                <w:rFonts w:ascii="Roboto" w:hAnsi="Roboto"/>
                <w:sz w:val="20"/>
                <w:szCs w:val="20"/>
              </w:rPr>
              <w:lastRenderedPageBreak/>
              <w:t>Farchmin</w:t>
            </w:r>
            <w:proofErr w:type="spellEnd"/>
            <w:r>
              <w:rPr>
                <w:rFonts w:ascii="Roboto" w:hAnsi="Roboto"/>
                <w:sz w:val="20"/>
                <w:szCs w:val="20"/>
              </w:rPr>
              <w:t xml:space="preserve"> originally started with </w:t>
            </w:r>
            <w:proofErr w:type="spellStart"/>
            <w:r>
              <w:rPr>
                <w:rFonts w:ascii="Roboto" w:hAnsi="Roboto"/>
                <w:sz w:val="20"/>
                <w:szCs w:val="20"/>
              </w:rPr>
              <w:t>Somat</w:t>
            </w:r>
            <w:proofErr w:type="spellEnd"/>
            <w:r>
              <w:rPr>
                <w:rFonts w:ascii="Roboto" w:hAnsi="Roboto"/>
                <w:sz w:val="20"/>
                <w:szCs w:val="20"/>
              </w:rPr>
              <w:t xml:space="preserve"> in 1994, and along with the development team in the Champaign, IL office, is responsible in driving the </w:t>
            </w:r>
            <w:proofErr w:type="spellStart"/>
            <w:r>
              <w:rPr>
                <w:rFonts w:ascii="Roboto" w:hAnsi="Roboto"/>
                <w:sz w:val="20"/>
                <w:szCs w:val="20"/>
              </w:rPr>
              <w:t>eDAQXR</w:t>
            </w:r>
            <w:proofErr w:type="spellEnd"/>
            <w:r>
              <w:rPr>
                <w:rFonts w:ascii="Roboto" w:hAnsi="Roboto"/>
                <w:sz w:val="20"/>
                <w:szCs w:val="20"/>
              </w:rPr>
              <w:t xml:space="preserve"> launch effort.</w:t>
            </w:r>
            <w:r>
              <w:rPr>
                <w:rFonts w:ascii="Roboto" w:hAnsi="Roboto"/>
                <w:sz w:val="20"/>
                <w:szCs w:val="20"/>
              </w:rPr>
              <w:br/>
            </w:r>
            <w:r>
              <w:rPr>
                <w:rFonts w:ascii="Roboto" w:hAnsi="Roboto"/>
                <w:sz w:val="20"/>
                <w:szCs w:val="20"/>
              </w:rPr>
              <w:br/>
              <w:t xml:space="preserve">For more information on the new </w:t>
            </w:r>
            <w:proofErr w:type="spellStart"/>
            <w:r>
              <w:rPr>
                <w:rFonts w:ascii="Roboto" w:hAnsi="Roboto"/>
                <w:sz w:val="20"/>
                <w:szCs w:val="20"/>
              </w:rPr>
              <w:t>Somat</w:t>
            </w:r>
            <w:proofErr w:type="spellEnd"/>
            <w:r>
              <w:rPr>
                <w:rFonts w:ascii="Roboto" w:hAnsi="Roboto"/>
                <w:sz w:val="20"/>
                <w:szCs w:val="20"/>
              </w:rPr>
              <w:t xml:space="preserve"> </w:t>
            </w:r>
            <w:proofErr w:type="spellStart"/>
            <w:r>
              <w:rPr>
                <w:rFonts w:ascii="Roboto" w:hAnsi="Roboto"/>
                <w:sz w:val="20"/>
                <w:szCs w:val="20"/>
              </w:rPr>
              <w:t>eDAQXR</w:t>
            </w:r>
            <w:proofErr w:type="spellEnd"/>
            <w:r>
              <w:rPr>
                <w:rFonts w:ascii="Roboto" w:hAnsi="Roboto"/>
                <w:sz w:val="20"/>
                <w:szCs w:val="20"/>
              </w:rPr>
              <w:t xml:space="preserve"> system, visit </w:t>
            </w:r>
            <w:hyperlink r:id="rId11" w:history="1">
              <w:r>
                <w:rPr>
                  <w:rStyle w:val="Hyperlink"/>
                  <w:rFonts w:ascii="Roboto" w:hAnsi="Roboto"/>
                  <w:color w:val="000080"/>
                  <w:sz w:val="20"/>
                  <w:szCs w:val="20"/>
                </w:rPr>
                <w:t>https://www.hbm.com/en/6771/somat-edaqxr</w:t>
              </w:r>
            </w:hyperlink>
            <w:r>
              <w:rPr>
                <w:rFonts w:ascii="Roboto" w:hAnsi="Roboto"/>
                <w:sz w:val="20"/>
                <w:szCs w:val="20"/>
              </w:rPr>
              <w:t xml:space="preserve"> or contact HBM at: </w:t>
            </w:r>
          </w:p>
          <w:p w:rsidR="0074446A" w:rsidRDefault="0074446A">
            <w:pPr>
              <w:pStyle w:val="BodyText"/>
              <w:spacing w:line="360" w:lineRule="auto"/>
            </w:pPr>
            <w:r>
              <w:rPr>
                <w:rFonts w:ascii="Roboto" w:hAnsi="Roboto"/>
                <w:sz w:val="20"/>
                <w:szCs w:val="20"/>
              </w:rPr>
              <w:t>HBM, Inc</w:t>
            </w:r>
            <w:proofErr w:type="gramStart"/>
            <w:r>
              <w:rPr>
                <w:rFonts w:ascii="Roboto" w:hAnsi="Roboto"/>
                <w:sz w:val="20"/>
                <w:szCs w:val="20"/>
              </w:rPr>
              <w:t>.</w:t>
            </w:r>
            <w:proofErr w:type="gramEnd"/>
            <w:r>
              <w:rPr>
                <w:rFonts w:ascii="Roboto" w:hAnsi="Roboto"/>
                <w:sz w:val="20"/>
                <w:szCs w:val="20"/>
              </w:rPr>
              <w:br/>
              <w:t>19 Bartlett Street</w:t>
            </w:r>
            <w:r>
              <w:rPr>
                <w:rFonts w:ascii="Roboto" w:hAnsi="Roboto"/>
                <w:sz w:val="20"/>
                <w:szCs w:val="20"/>
              </w:rPr>
              <w:br/>
              <w:t>Marlborough, MA 01752</w:t>
            </w:r>
            <w:r>
              <w:rPr>
                <w:rFonts w:ascii="Roboto" w:hAnsi="Roboto"/>
                <w:sz w:val="20"/>
                <w:szCs w:val="20"/>
              </w:rPr>
              <w:br/>
              <w:t>Tel: 800-578-4260</w:t>
            </w:r>
            <w:r>
              <w:rPr>
                <w:rFonts w:ascii="Roboto" w:hAnsi="Roboto"/>
                <w:sz w:val="20"/>
                <w:szCs w:val="20"/>
              </w:rPr>
              <w:br/>
              <w:t>Fax: 508-485-7480</w:t>
            </w:r>
            <w:r>
              <w:rPr>
                <w:rFonts w:ascii="Roboto" w:hAnsi="Roboto"/>
                <w:sz w:val="20"/>
                <w:szCs w:val="20"/>
              </w:rPr>
              <w:br/>
              <w:t xml:space="preserve">Sales Email: </w:t>
            </w:r>
            <w:hyperlink r:id="rId12" w:history="1">
              <w:r>
                <w:rPr>
                  <w:rStyle w:val="Hyperlink"/>
                  <w:rFonts w:ascii="Roboto" w:hAnsi="Roboto"/>
                  <w:sz w:val="20"/>
                  <w:szCs w:val="20"/>
                </w:rPr>
                <w:t>info@usa.hbm.com</w:t>
              </w:r>
            </w:hyperlink>
            <w:r>
              <w:rPr>
                <w:rFonts w:ascii="Roboto" w:hAnsi="Roboto"/>
                <w:sz w:val="20"/>
                <w:szCs w:val="20"/>
              </w:rPr>
              <w:br/>
              <w:t xml:space="preserve">Support Email: </w:t>
            </w:r>
            <w:hyperlink r:id="rId13" w:history="1">
              <w:r>
                <w:rPr>
                  <w:rStyle w:val="Hyperlink"/>
                  <w:rFonts w:ascii="Roboto" w:hAnsi="Roboto"/>
                  <w:sz w:val="20"/>
                  <w:szCs w:val="20"/>
                </w:rPr>
                <w:t>support@usa.hbm.com</w:t>
              </w:r>
            </w:hyperlink>
            <w:r>
              <w:rPr>
                <w:rFonts w:ascii="Roboto" w:hAnsi="Roboto"/>
                <w:sz w:val="20"/>
                <w:szCs w:val="20"/>
              </w:rPr>
              <w:br/>
              <w:t xml:space="preserve">Website: </w:t>
            </w:r>
            <w:hyperlink r:id="rId14" w:history="1">
              <w:r>
                <w:rPr>
                  <w:rStyle w:val="Hyperlink"/>
                  <w:rFonts w:ascii="Roboto" w:hAnsi="Roboto"/>
                  <w:sz w:val="20"/>
                  <w:szCs w:val="20"/>
                </w:rPr>
                <w:t>http://www.hbm.com</w:t>
              </w:r>
            </w:hyperlink>
            <w:r>
              <w:rPr>
                <w:rFonts w:ascii="Roboto" w:hAnsi="Roboto"/>
                <w:sz w:val="20"/>
                <w:szCs w:val="20"/>
              </w:rPr>
              <w:br/>
            </w:r>
            <w:r>
              <w:rPr>
                <w:rFonts w:ascii="Roboto" w:hAnsi="Roboto"/>
                <w:sz w:val="20"/>
                <w:szCs w:val="20"/>
              </w:rPr>
              <w:br/>
            </w:r>
            <w:r>
              <w:rPr>
                <w:rFonts w:ascii="Roboto" w:hAnsi="Roboto"/>
                <w:b/>
                <w:bCs/>
                <w:sz w:val="20"/>
                <w:szCs w:val="20"/>
              </w:rPr>
              <w:t>About HBM, Inc.</w:t>
            </w:r>
            <w:r>
              <w:rPr>
                <w:rFonts w:ascii="Roboto" w:hAnsi="Roboto"/>
                <w:b/>
                <w:bCs/>
                <w:sz w:val="20"/>
                <w:szCs w:val="20"/>
              </w:rPr>
              <w:br/>
            </w:r>
            <w:r>
              <w:rPr>
                <w:rFonts w:ascii="Roboto" w:hAnsi="Roboto"/>
                <w:sz w:val="20"/>
                <w:szCs w:val="20"/>
              </w:rPr>
              <w:t>For more than 65 years, the name HBM has stood for reliability, precision and innovation all over the world. HBM offers products and services for an extensive range of measurement applications in many industries. Users worldwide rely on the perfectly matched components of the measurement chain that guarantees maximum accuracy of measurement results and enables optimization of the complete product life cycle, from the development through the testing stages, as well as in manufacturing and production. Their product range covers sensors, transducers, gauges, amplifiers and data acquisition systems as well as software for structural durability investigations, tests and analysis. The potential fields of application can be found in every branch of engineering in both virtual and physical test and measurement.</w:t>
            </w:r>
            <w:r>
              <w:rPr>
                <w:rFonts w:ascii="Roboto" w:hAnsi="Roboto"/>
                <w:sz w:val="20"/>
                <w:szCs w:val="20"/>
              </w:rPr>
              <w:br/>
            </w:r>
            <w:r>
              <w:rPr>
                <w:rFonts w:ascii="Roboto" w:hAnsi="Roboto"/>
                <w:sz w:val="20"/>
                <w:szCs w:val="20"/>
              </w:rPr>
              <w:br/>
              <w:t xml:space="preserve">HBM has 27 subsidiaries and sales offices in Europe, America and Asia. HBM also has representatives in another 40 countries around the world. In addition to headquarters in Darmstadt, Germany, other HBM production facilities are located in Marlborough, Massachusetts, and Suzhou, China.  </w:t>
            </w:r>
          </w:p>
          <w:p w:rsidR="0074446A" w:rsidRDefault="0074446A">
            <w:pPr>
              <w:pStyle w:val="NormalWeb"/>
              <w:spacing w:line="360" w:lineRule="auto"/>
            </w:pPr>
            <w:r>
              <w:rPr>
                <w:rFonts w:ascii="Roboto" w:hAnsi="Roboto"/>
                <w:sz w:val="20"/>
                <w:szCs w:val="20"/>
              </w:rPr>
              <w:t>HBM: Public</w:t>
            </w:r>
          </w:p>
          <w:p w:rsidR="0074446A" w:rsidRDefault="0074446A">
            <w:pPr>
              <w:pStyle w:val="BodyText"/>
              <w:jc w:val="center"/>
            </w:pPr>
            <w:r>
              <w:rPr>
                <w:rFonts w:ascii="Franklin Gothic Medium" w:hAnsi="Franklin Gothic Medium"/>
              </w:rPr>
              <w:t># # #</w:t>
            </w:r>
          </w:p>
        </w:tc>
      </w:tr>
    </w:tbl>
    <w:p w:rsidR="00D329B7" w:rsidRDefault="0074446A">
      <w:r>
        <w:lastRenderedPageBreak/>
        <w:br/>
      </w:r>
    </w:p>
    <w:sectPr w:rsidR="00D3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587"/>
    <w:multiLevelType w:val="multilevel"/>
    <w:tmpl w:val="FD74E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6A"/>
    <w:rsid w:val="0074446A"/>
    <w:rsid w:val="00D3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6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46A"/>
    <w:rPr>
      <w:color w:val="0000FF"/>
      <w:u w:val="single"/>
    </w:rPr>
  </w:style>
  <w:style w:type="paragraph" w:styleId="NormalWeb">
    <w:name w:val="Normal (Web)"/>
    <w:basedOn w:val="Normal"/>
    <w:uiPriority w:val="99"/>
    <w:unhideWhenUsed/>
    <w:rsid w:val="0074446A"/>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unhideWhenUsed/>
    <w:rsid w:val="0074446A"/>
    <w:pPr>
      <w:spacing w:before="100" w:beforeAutospacing="1" w:after="100" w:afterAutospacing="1"/>
    </w:pPr>
  </w:style>
  <w:style w:type="character" w:customStyle="1" w:styleId="BodyTextChar">
    <w:name w:val="Body Text Char"/>
    <w:basedOn w:val="DefaultParagraphFont"/>
    <w:link w:val="BodyText"/>
    <w:uiPriority w:val="99"/>
    <w:rsid w:val="0074446A"/>
    <w:rPr>
      <w:rFonts w:ascii="Calibri" w:hAnsi="Calibri" w:cs="Times New Roman"/>
    </w:rPr>
  </w:style>
  <w:style w:type="character" w:customStyle="1" w:styleId="internetlink">
    <w:name w:val="internetlink"/>
    <w:basedOn w:val="DefaultParagraphFont"/>
    <w:rsid w:val="0074446A"/>
    <w:rPr>
      <w:color w:val="000080"/>
      <w:u w:val="single"/>
    </w:rPr>
  </w:style>
  <w:style w:type="paragraph" w:styleId="BalloonText">
    <w:name w:val="Balloon Text"/>
    <w:basedOn w:val="Normal"/>
    <w:link w:val="BalloonTextChar"/>
    <w:uiPriority w:val="99"/>
    <w:semiHidden/>
    <w:unhideWhenUsed/>
    <w:rsid w:val="0074446A"/>
    <w:rPr>
      <w:rFonts w:ascii="Tahoma" w:hAnsi="Tahoma" w:cs="Tahoma"/>
      <w:sz w:val="16"/>
      <w:szCs w:val="16"/>
    </w:rPr>
  </w:style>
  <w:style w:type="character" w:customStyle="1" w:styleId="BalloonTextChar">
    <w:name w:val="Balloon Text Char"/>
    <w:basedOn w:val="DefaultParagraphFont"/>
    <w:link w:val="BalloonText"/>
    <w:uiPriority w:val="99"/>
    <w:semiHidden/>
    <w:rsid w:val="00744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6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46A"/>
    <w:rPr>
      <w:color w:val="0000FF"/>
      <w:u w:val="single"/>
    </w:rPr>
  </w:style>
  <w:style w:type="paragraph" w:styleId="NormalWeb">
    <w:name w:val="Normal (Web)"/>
    <w:basedOn w:val="Normal"/>
    <w:uiPriority w:val="99"/>
    <w:unhideWhenUsed/>
    <w:rsid w:val="0074446A"/>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unhideWhenUsed/>
    <w:rsid w:val="0074446A"/>
    <w:pPr>
      <w:spacing w:before="100" w:beforeAutospacing="1" w:after="100" w:afterAutospacing="1"/>
    </w:pPr>
  </w:style>
  <w:style w:type="character" w:customStyle="1" w:styleId="BodyTextChar">
    <w:name w:val="Body Text Char"/>
    <w:basedOn w:val="DefaultParagraphFont"/>
    <w:link w:val="BodyText"/>
    <w:uiPriority w:val="99"/>
    <w:rsid w:val="0074446A"/>
    <w:rPr>
      <w:rFonts w:ascii="Calibri" w:hAnsi="Calibri" w:cs="Times New Roman"/>
    </w:rPr>
  </w:style>
  <w:style w:type="character" w:customStyle="1" w:styleId="internetlink">
    <w:name w:val="internetlink"/>
    <w:basedOn w:val="DefaultParagraphFont"/>
    <w:rsid w:val="0074446A"/>
    <w:rPr>
      <w:color w:val="000080"/>
      <w:u w:val="single"/>
    </w:rPr>
  </w:style>
  <w:style w:type="paragraph" w:styleId="BalloonText">
    <w:name w:val="Balloon Text"/>
    <w:basedOn w:val="Normal"/>
    <w:link w:val="BalloonTextChar"/>
    <w:uiPriority w:val="99"/>
    <w:semiHidden/>
    <w:unhideWhenUsed/>
    <w:rsid w:val="0074446A"/>
    <w:rPr>
      <w:rFonts w:ascii="Tahoma" w:hAnsi="Tahoma" w:cs="Tahoma"/>
      <w:sz w:val="16"/>
      <w:szCs w:val="16"/>
    </w:rPr>
  </w:style>
  <w:style w:type="character" w:customStyle="1" w:styleId="BalloonTextChar">
    <w:name w:val="Balloon Text Char"/>
    <w:basedOn w:val="DefaultParagraphFont"/>
    <w:link w:val="BalloonText"/>
    <w:uiPriority w:val="99"/>
    <w:semiHidden/>
    <w:rsid w:val="00744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GoldsteinGroupCommun/778ef61b5c/TEST/62a595fa73" TargetMode="External"/><Relationship Id="rId13" Type="http://schemas.openxmlformats.org/officeDocument/2006/relationships/hyperlink" Target="mailto:support@usa.hbm.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info@usa.hb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ts.vresp.com/c/?GoldsteinGroupCommun/778ef61b5c/TEST/affa0e45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ts.vresp.com/c/?GoldsteinGroupCommun/778ef61b5c/TEST/466c2e8b74" TargetMode="External"/><Relationship Id="rId4" Type="http://schemas.openxmlformats.org/officeDocument/2006/relationships/settings" Target="settings.xml"/><Relationship Id="rId9" Type="http://schemas.openxmlformats.org/officeDocument/2006/relationships/hyperlink" Target="mailto:john.sotirakos@hbm.com" TargetMode="External"/><Relationship Id="rId14" Type="http://schemas.openxmlformats.org/officeDocument/2006/relationships/hyperlink" Target="http://cts.vresp.com/c/?GoldsteinGroupCommun/778ef61b5c/TEST/cccf622a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Sotirakos, John</dc:creator>
  <cp:lastModifiedBy>Sotirakos, John</cp:lastModifiedBy>
  <cp:revision>1</cp:revision>
  <dcterms:created xsi:type="dcterms:W3CDTF">2017-06-06T14:54:00Z</dcterms:created>
  <dcterms:modified xsi:type="dcterms:W3CDTF">2017-06-06T14:55:00Z</dcterms:modified>
</cp:coreProperties>
</file>