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0F" w:rsidRDefault="00C504B0" w:rsidP="00D25D0F">
      <w:pPr>
        <w:spacing w:after="0"/>
        <w:rPr>
          <w:rFonts w:ascii="Roboto" w:hAnsi="Roboto"/>
          <w:b/>
          <w:sz w:val="28"/>
          <w:szCs w:val="28"/>
        </w:rPr>
      </w:pPr>
      <w:r w:rsidRPr="00C504B0">
        <w:rPr>
          <w:rFonts w:ascii="Roboto" w:hAnsi="Roboto"/>
          <w:b/>
          <w:sz w:val="28"/>
          <w:szCs w:val="28"/>
        </w:rPr>
        <w:t>Complete Solutions in Weighing Technology: HBM Expands Its WTX S</w:t>
      </w:r>
      <w:r w:rsidRPr="00C504B0">
        <w:rPr>
          <w:rFonts w:ascii="Roboto" w:hAnsi="Roboto"/>
          <w:b/>
          <w:sz w:val="28"/>
          <w:szCs w:val="28"/>
        </w:rPr>
        <w:t>e</w:t>
      </w:r>
      <w:r w:rsidRPr="00C504B0">
        <w:rPr>
          <w:rFonts w:ascii="Roboto" w:hAnsi="Roboto"/>
          <w:b/>
          <w:sz w:val="28"/>
          <w:szCs w:val="28"/>
        </w:rPr>
        <w:t>ries with the New Ultra-Robust WTX110-A Weighing Terminal</w:t>
      </w:r>
    </w:p>
    <w:p w:rsidR="00C504B0" w:rsidRPr="004311B5" w:rsidRDefault="00C504B0" w:rsidP="00D25D0F">
      <w:pPr>
        <w:spacing w:after="0"/>
        <w:rPr>
          <w:rFonts w:ascii="Roboto" w:hAnsi="Roboto" w:cs="Arial"/>
          <w:b/>
        </w:rPr>
      </w:pPr>
    </w:p>
    <w:p w:rsidR="00C504B0" w:rsidRDefault="00C504B0" w:rsidP="00C504B0">
      <w:pPr>
        <w:pStyle w:val="Listenabsatz"/>
        <w:numPr>
          <w:ilvl w:val="0"/>
          <w:numId w:val="7"/>
        </w:numPr>
        <w:spacing w:after="0"/>
        <w:rPr>
          <w:rFonts w:ascii="Roboto" w:hAnsi="Roboto"/>
        </w:rPr>
      </w:pPr>
      <w:r w:rsidRPr="00C504B0">
        <w:rPr>
          <w:rFonts w:ascii="Roboto" w:hAnsi="Roboto"/>
        </w:rPr>
        <w:t>Ideally suitable for utilization in harsh environments and compliant with the stringent hygiene requirements of the food, chemical, or pharmaceutical industries</w:t>
      </w:r>
    </w:p>
    <w:p w:rsidR="00C504B0" w:rsidRDefault="00C504B0" w:rsidP="00C504B0">
      <w:pPr>
        <w:pStyle w:val="Listenabsatz"/>
        <w:numPr>
          <w:ilvl w:val="0"/>
          <w:numId w:val="7"/>
        </w:numPr>
        <w:spacing w:after="0"/>
        <w:rPr>
          <w:rFonts w:ascii="Roboto" w:hAnsi="Roboto"/>
        </w:rPr>
      </w:pPr>
      <w:r w:rsidRPr="00C504B0">
        <w:rPr>
          <w:rFonts w:ascii="Roboto" w:hAnsi="Roboto"/>
        </w:rPr>
        <w:t>Convenient soft-key control through a high-resolution, 4.3-inch TFT color displa</w:t>
      </w:r>
      <w:r w:rsidRPr="00C504B0">
        <w:rPr>
          <w:rFonts w:ascii="Roboto" w:hAnsi="Roboto"/>
        </w:rPr>
        <w:t>y</w:t>
      </w:r>
    </w:p>
    <w:p w:rsidR="00C504B0" w:rsidRPr="00C504B0" w:rsidRDefault="00C504B0" w:rsidP="00C504B0">
      <w:pPr>
        <w:pStyle w:val="Listenabsatz"/>
        <w:numPr>
          <w:ilvl w:val="0"/>
          <w:numId w:val="7"/>
        </w:numPr>
        <w:spacing w:after="0"/>
        <w:rPr>
          <w:rFonts w:ascii="Roboto" w:hAnsi="Roboto"/>
        </w:rPr>
      </w:pPr>
      <w:r w:rsidRPr="00C504B0">
        <w:rPr>
          <w:rFonts w:ascii="Roboto" w:hAnsi="Roboto"/>
        </w:rPr>
        <w:t>Ethernet TCP/IP ensures easy and secure remote access</w:t>
      </w:r>
    </w:p>
    <w:p w:rsidR="00A94223" w:rsidRPr="004311B5" w:rsidRDefault="00A94223" w:rsidP="009A2149">
      <w:pPr>
        <w:spacing w:after="0"/>
        <w:rPr>
          <w:rFonts w:ascii="Roboto" w:hAnsi="Roboto" w:cs="Arial"/>
        </w:rPr>
      </w:pPr>
    </w:p>
    <w:p w:rsidR="00C504B0" w:rsidRPr="00C504B0" w:rsidRDefault="00C504B0" w:rsidP="00C504B0">
      <w:pPr>
        <w:spacing w:after="0"/>
        <w:rPr>
          <w:rFonts w:ascii="Roboto" w:hAnsi="Roboto"/>
        </w:rPr>
      </w:pPr>
      <w:r w:rsidRPr="00C504B0">
        <w:rPr>
          <w:rFonts w:ascii="Roboto" w:hAnsi="Roboto"/>
          <w:b/>
        </w:rPr>
        <w:t>HBM Test and Measurement has expanded its high-class WTX series with a new version for use with analog load cells - the new, legal-for-trade WTX110-A weighing terminal. The r</w:t>
      </w:r>
      <w:r w:rsidRPr="00C504B0">
        <w:rPr>
          <w:rFonts w:ascii="Roboto" w:hAnsi="Roboto"/>
          <w:b/>
        </w:rPr>
        <w:t>o</w:t>
      </w:r>
      <w:r w:rsidRPr="00C504B0">
        <w:rPr>
          <w:rFonts w:ascii="Roboto" w:hAnsi="Roboto"/>
          <w:b/>
        </w:rPr>
        <w:t>bust WTX110-A weighing terminal combines the key technical and legal features of cu</w:t>
      </w:r>
      <w:r w:rsidRPr="00C504B0">
        <w:rPr>
          <w:rFonts w:ascii="Roboto" w:hAnsi="Roboto"/>
          <w:b/>
        </w:rPr>
        <w:t>t</w:t>
      </w:r>
      <w:r w:rsidRPr="00C504B0">
        <w:rPr>
          <w:rFonts w:ascii="Roboto" w:hAnsi="Roboto"/>
          <w:b/>
        </w:rPr>
        <w:t>ting-edge and future-proof weighing electronics. All the housing versions offer the IP69K degree of protection and thus can be put to use in the harsh environments prevalent in the chemical or pharmaceutical industries. They comply with the stringent requirements for hygiene measures of the food industry</w:t>
      </w:r>
      <w:r w:rsidRPr="00C504B0">
        <w:rPr>
          <w:rFonts w:ascii="Roboto" w:hAnsi="Roboto"/>
        </w:rPr>
        <w:t>.</w:t>
      </w:r>
    </w:p>
    <w:p w:rsidR="00C504B0" w:rsidRPr="00C504B0" w:rsidRDefault="00C504B0" w:rsidP="00C504B0">
      <w:pPr>
        <w:spacing w:after="0"/>
        <w:rPr>
          <w:rFonts w:ascii="Roboto" w:hAnsi="Roboto"/>
        </w:rPr>
      </w:pPr>
    </w:p>
    <w:p w:rsidR="00C504B0" w:rsidRPr="00C504B0" w:rsidRDefault="00C504B0" w:rsidP="00C504B0">
      <w:pPr>
        <w:spacing w:after="0"/>
        <w:rPr>
          <w:rFonts w:ascii="Roboto" w:hAnsi="Roboto"/>
        </w:rPr>
      </w:pPr>
      <w:r w:rsidRPr="00C504B0">
        <w:rPr>
          <w:rFonts w:ascii="Roboto" w:hAnsi="Roboto"/>
        </w:rPr>
        <w:t>The WTX110-A stands out for its tremendous user-friendliness. Its use on-site is significantly easier than conventional weight indicators due to its high-class, 4.3-inch color display and convenient soft-key control.</w:t>
      </w:r>
    </w:p>
    <w:p w:rsidR="00C504B0" w:rsidRPr="00C504B0" w:rsidRDefault="00C504B0" w:rsidP="00C504B0">
      <w:pPr>
        <w:spacing w:after="0"/>
        <w:rPr>
          <w:rFonts w:ascii="Roboto" w:hAnsi="Roboto"/>
        </w:rPr>
      </w:pPr>
    </w:p>
    <w:p w:rsidR="00C504B0" w:rsidRPr="00C504B0" w:rsidRDefault="00C504B0" w:rsidP="00C504B0">
      <w:pPr>
        <w:spacing w:after="0"/>
        <w:rPr>
          <w:rFonts w:ascii="Roboto" w:hAnsi="Roboto"/>
          <w:b/>
        </w:rPr>
      </w:pPr>
      <w:r w:rsidRPr="00C504B0">
        <w:rPr>
          <w:rFonts w:ascii="Roboto" w:hAnsi="Roboto"/>
          <w:b/>
        </w:rPr>
        <w:t>Well prepared for the future</w:t>
      </w:r>
    </w:p>
    <w:p w:rsidR="00C504B0" w:rsidRPr="00C504B0" w:rsidRDefault="00C504B0" w:rsidP="00C504B0">
      <w:pPr>
        <w:spacing w:after="0"/>
        <w:rPr>
          <w:rFonts w:ascii="Roboto" w:hAnsi="Roboto"/>
        </w:rPr>
      </w:pPr>
      <w:r w:rsidRPr="00C504B0">
        <w:rPr>
          <w:rFonts w:ascii="Roboto" w:hAnsi="Roboto"/>
        </w:rPr>
        <w:t>The WTX110-A has one particularly outstanding feature – it facilitates extremely easy co</w:t>
      </w:r>
      <w:r w:rsidRPr="00C504B0">
        <w:rPr>
          <w:rFonts w:ascii="Roboto" w:hAnsi="Roboto"/>
        </w:rPr>
        <w:t>n</w:t>
      </w:r>
      <w:r w:rsidRPr="00C504B0">
        <w:rPr>
          <w:rFonts w:ascii="Roboto" w:hAnsi="Roboto"/>
        </w:rPr>
        <w:t>figuration or calibration as well as other servicing measures. These can be carried out quic</w:t>
      </w:r>
      <w:r w:rsidRPr="00C504B0">
        <w:rPr>
          <w:rFonts w:ascii="Roboto" w:hAnsi="Roboto"/>
        </w:rPr>
        <w:t>k</w:t>
      </w:r>
      <w:r w:rsidRPr="00C504B0">
        <w:rPr>
          <w:rFonts w:ascii="Roboto" w:hAnsi="Roboto"/>
        </w:rPr>
        <w:t xml:space="preserve">ly and conveniently on site or in a distributed system using HBM’s </w:t>
      </w:r>
      <w:proofErr w:type="spellStart"/>
      <w:r w:rsidRPr="00C504B0">
        <w:rPr>
          <w:rFonts w:ascii="Roboto" w:hAnsi="Roboto"/>
        </w:rPr>
        <w:t>PanelX</w:t>
      </w:r>
      <w:proofErr w:type="spellEnd"/>
      <w:r w:rsidRPr="00C504B0">
        <w:rPr>
          <w:rFonts w:ascii="Roboto" w:hAnsi="Roboto"/>
        </w:rPr>
        <w:t xml:space="preserve"> weighing software. This enables, for instance, a remote calibration to be performed via the Internet quickly and cost-effectively. An encrypted connection ensures secure data exchange through (remote) access via both </w:t>
      </w:r>
      <w:proofErr w:type="spellStart"/>
      <w:r w:rsidRPr="00C504B0">
        <w:rPr>
          <w:rFonts w:ascii="Roboto" w:hAnsi="Roboto"/>
        </w:rPr>
        <w:t>PanelX</w:t>
      </w:r>
      <w:proofErr w:type="spellEnd"/>
      <w:r w:rsidRPr="00C504B0">
        <w:rPr>
          <w:rFonts w:ascii="Roboto" w:hAnsi="Roboto"/>
        </w:rPr>
        <w:t xml:space="preserve"> software and the WTX Mobile App. HBM is one of the first manufa</w:t>
      </w:r>
      <w:r w:rsidRPr="00C504B0">
        <w:rPr>
          <w:rFonts w:ascii="Roboto" w:hAnsi="Roboto"/>
        </w:rPr>
        <w:t>c</w:t>
      </w:r>
      <w:r w:rsidRPr="00C504B0">
        <w:rPr>
          <w:rFonts w:ascii="Roboto" w:hAnsi="Roboto"/>
        </w:rPr>
        <w:t>turers of weighing technology products that offer this highly innovative option for future a</w:t>
      </w:r>
      <w:r w:rsidRPr="00C504B0">
        <w:rPr>
          <w:rFonts w:ascii="Roboto" w:hAnsi="Roboto"/>
        </w:rPr>
        <w:t>p</w:t>
      </w:r>
      <w:r w:rsidRPr="00C504B0">
        <w:rPr>
          <w:rFonts w:ascii="Roboto" w:hAnsi="Roboto"/>
        </w:rPr>
        <w:t>plications in the Industrial Internet of Things.</w:t>
      </w:r>
    </w:p>
    <w:p w:rsidR="00C504B0" w:rsidRPr="00C504B0" w:rsidRDefault="00C504B0" w:rsidP="00C504B0">
      <w:pPr>
        <w:spacing w:after="0"/>
        <w:rPr>
          <w:rFonts w:ascii="Roboto" w:hAnsi="Roboto"/>
        </w:rPr>
      </w:pPr>
    </w:p>
    <w:p w:rsidR="00C504B0" w:rsidRPr="00C504B0" w:rsidRDefault="00C504B0" w:rsidP="00C504B0">
      <w:pPr>
        <w:spacing w:after="0"/>
        <w:rPr>
          <w:rFonts w:ascii="Roboto" w:hAnsi="Roboto"/>
          <w:b/>
        </w:rPr>
      </w:pPr>
      <w:r w:rsidRPr="00C504B0">
        <w:rPr>
          <w:rFonts w:ascii="Roboto" w:hAnsi="Roboto"/>
          <w:b/>
        </w:rPr>
        <w:t>More than just components – complete weighing solutions from HBM</w:t>
      </w:r>
    </w:p>
    <w:p w:rsidR="00C504B0" w:rsidRDefault="00C504B0" w:rsidP="00C504B0">
      <w:pPr>
        <w:spacing w:after="0"/>
        <w:rPr>
          <w:rFonts w:ascii="Roboto" w:hAnsi="Roboto"/>
        </w:rPr>
      </w:pPr>
      <w:r w:rsidRPr="00C504B0">
        <w:rPr>
          <w:rFonts w:ascii="Roboto" w:hAnsi="Roboto"/>
        </w:rPr>
        <w:t>The WTX110-A terminal is an all-rounder, which is ideally suitable for being combined with load cells from HBM’s range of products, thus, offering complete weighing solutions from a single source. Users have been benefiting from the many years of experience HBM has as the global market leader. HBM provides a complete and highly precise measurement chain, ranging from the load cell, through the electronics, to a secure remote access and service, all at a fair price.</w:t>
      </w:r>
    </w:p>
    <w:p w:rsidR="00C504B0" w:rsidRDefault="00C504B0" w:rsidP="00C504B0">
      <w:pPr>
        <w:spacing w:after="0"/>
        <w:rPr>
          <w:rFonts w:ascii="Roboto" w:hAnsi="Roboto"/>
        </w:rPr>
      </w:pPr>
    </w:p>
    <w:p w:rsidR="008142B1" w:rsidRPr="00F61D0F" w:rsidRDefault="006871BF" w:rsidP="00C504B0">
      <w:pPr>
        <w:spacing w:after="0"/>
        <w:rPr>
          <w:rFonts w:ascii="Roboto" w:hAnsi="Roboto"/>
        </w:rPr>
      </w:pPr>
      <w:r>
        <w:rPr>
          <w:rFonts w:ascii="Roboto" w:hAnsi="Roboto"/>
        </w:rPr>
        <w:t xml:space="preserve">Further information about the product can be found at </w:t>
      </w:r>
      <w:hyperlink r:id="rId9" w:history="1">
        <w:r w:rsidR="00C504B0" w:rsidRPr="00B31340">
          <w:rPr>
            <w:rStyle w:val="Hyperlink"/>
            <w:rFonts w:ascii="Roboto" w:hAnsi="Roboto"/>
          </w:rPr>
          <w:t>www.hbm.com/wtx</w:t>
        </w:r>
      </w:hyperlink>
    </w:p>
    <w:p w:rsidR="006871BF" w:rsidRPr="004311B5" w:rsidRDefault="006871BF" w:rsidP="006871BF">
      <w:pPr>
        <w:spacing w:after="0"/>
        <w:rPr>
          <w:rFonts w:ascii="Roboto" w:hAnsi="Roboto" w:cs="Arial"/>
        </w:rPr>
      </w:pPr>
    </w:p>
    <w:p w:rsidR="006871BF" w:rsidRPr="00032E34" w:rsidRDefault="00C504B0" w:rsidP="00A94223">
      <w:pPr>
        <w:spacing w:after="0"/>
        <w:rPr>
          <w:rFonts w:ascii="Roboto" w:hAnsi="Roboto" w:cs="Arial"/>
        </w:rPr>
      </w:pPr>
      <w:r>
        <w:rPr>
          <w:noProof/>
          <w:lang w:val="de-DE"/>
        </w:rPr>
        <w:lastRenderedPageBreak/>
        <w:drawing>
          <wp:inline distT="0" distB="0" distL="0" distR="0">
            <wp:extent cx="3284220" cy="3284220"/>
            <wp:effectExtent l="0" t="0" r="0" b="0"/>
            <wp:docPr id="3" name="Grafik 3" descr="https://www.hbm.com/fileadmin/mediapool/images/products/daq/weighing/wtx/wtx110a_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bm.com/fileadmin/mediapool/images/products/daq/weighing/wtx/wtx110a_3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4220" cy="3284220"/>
                    </a:xfrm>
                    <a:prstGeom prst="rect">
                      <a:avLst/>
                    </a:prstGeom>
                    <a:noFill/>
                    <a:ln>
                      <a:noFill/>
                    </a:ln>
                  </pic:spPr>
                </pic:pic>
              </a:graphicData>
            </a:graphic>
          </wp:inline>
        </w:drawing>
      </w:r>
    </w:p>
    <w:p w:rsidR="009A2149" w:rsidRPr="004311B5" w:rsidRDefault="00C504B0" w:rsidP="009A2149">
      <w:pPr>
        <w:spacing w:line="360" w:lineRule="auto"/>
        <w:ind w:right="1128"/>
        <w:jc w:val="both"/>
        <w:rPr>
          <w:rFonts w:ascii="Roboto" w:hAnsi="Roboto"/>
          <w:b/>
          <w:lang w:eastAsia="en-US"/>
        </w:rPr>
      </w:pPr>
      <w:r w:rsidRPr="00C504B0">
        <w:rPr>
          <w:rFonts w:ascii="Roboto" w:hAnsi="Roboto"/>
          <w:sz w:val="18"/>
          <w:szCs w:val="18"/>
        </w:rPr>
        <w:t>The new WTX110-A weighing terminal</w:t>
      </w:r>
      <w:r>
        <w:rPr>
          <w:rFonts w:ascii="Roboto" w:hAnsi="Roboto"/>
          <w:sz w:val="18"/>
          <w:szCs w:val="18"/>
        </w:rPr>
        <w:t>.</w:t>
      </w:r>
      <w:bookmarkStart w:id="0" w:name="_GoBack"/>
      <w:bookmarkEnd w:id="0"/>
    </w:p>
    <w:p w:rsidR="009A2149" w:rsidRPr="00F61D0F" w:rsidRDefault="00392006" w:rsidP="009A2149">
      <w:pPr>
        <w:spacing w:line="360" w:lineRule="auto"/>
        <w:ind w:right="1128"/>
        <w:jc w:val="both"/>
        <w:rPr>
          <w:rFonts w:ascii="Roboto" w:hAnsi="Roboto" w:cs="Arial"/>
          <w:b/>
          <w:bCs/>
          <w:sz w:val="18"/>
          <w:szCs w:val="18"/>
        </w:rPr>
      </w:pPr>
      <w:r>
        <w:rPr>
          <w:rFonts w:ascii="Roboto" w:hAnsi="Roboto"/>
          <w:b/>
          <w:sz w:val="18"/>
          <w:szCs w:val="18"/>
        </w:rPr>
        <w:t>About HBM Test and Measurement</w:t>
      </w:r>
    </w:p>
    <w:p w:rsidR="00C1091B" w:rsidRPr="00F61D0F" w:rsidRDefault="00392006" w:rsidP="009A2149">
      <w:pPr>
        <w:autoSpaceDE w:val="0"/>
        <w:spacing w:after="120" w:line="360" w:lineRule="auto"/>
        <w:ind w:right="1132"/>
        <w:jc w:val="both"/>
        <w:rPr>
          <w:rFonts w:ascii="Roboto" w:hAnsi="Roboto"/>
          <w:sz w:val="18"/>
          <w:szCs w:val="18"/>
        </w:rPr>
      </w:pPr>
      <w:r>
        <w:rPr>
          <w:rFonts w:ascii="Roboto" w:hAnsi="Roboto"/>
          <w:sz w:val="18"/>
          <w:szCs w:val="18"/>
        </w:rPr>
        <w:t xml:space="preserve">Founded in Germany in 1950, </w:t>
      </w:r>
      <w:proofErr w:type="spellStart"/>
      <w:r>
        <w:rPr>
          <w:rFonts w:ascii="Roboto" w:hAnsi="Roboto"/>
          <w:sz w:val="18"/>
          <w:szCs w:val="18"/>
        </w:rPr>
        <w:t>Hottinger</w:t>
      </w:r>
      <w:proofErr w:type="spellEnd"/>
      <w:r>
        <w:rPr>
          <w:rFonts w:ascii="Roboto" w:hAnsi="Roboto"/>
          <w:sz w:val="18"/>
          <w:szCs w:val="18"/>
        </w:rPr>
        <w:t xml:space="preserve"> Baldwin </w:t>
      </w:r>
      <w:proofErr w:type="spellStart"/>
      <w:r>
        <w:rPr>
          <w:rFonts w:ascii="Roboto" w:hAnsi="Roboto"/>
          <w:sz w:val="18"/>
          <w:szCs w:val="18"/>
        </w:rPr>
        <w:t>Messtechnik</w:t>
      </w:r>
      <w:proofErr w:type="spellEnd"/>
      <w:r>
        <w:rPr>
          <w:rFonts w:ascii="Roboto" w:hAnsi="Roboto"/>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F61D0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75" w:rsidRDefault="00BC7175" w:rsidP="00291A20">
      <w:pPr>
        <w:spacing w:after="0" w:line="240" w:lineRule="auto"/>
      </w:pPr>
      <w:r>
        <w:separator/>
      </w:r>
    </w:p>
  </w:endnote>
  <w:endnote w:type="continuationSeparator" w:id="0">
    <w:p w:rsidR="00BC7175" w:rsidRDefault="00BC7175" w:rsidP="00291A20">
      <w:pPr>
        <w:spacing w:after="0" w:line="240" w:lineRule="auto"/>
      </w:pPr>
      <w:r>
        <w:continuationSeparator/>
      </w:r>
    </w:p>
  </w:endnote>
  <w:endnote w:type="continuationNotice" w:id="1">
    <w:p w:rsidR="00BC7175" w:rsidRDefault="00BC7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2FF" w:usb1="5000205B" w:usb2="00000020"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75" w:rsidRDefault="00BC7175" w:rsidP="00291A20">
      <w:pPr>
        <w:spacing w:after="0" w:line="240" w:lineRule="auto"/>
      </w:pPr>
      <w:r>
        <w:separator/>
      </w:r>
    </w:p>
  </w:footnote>
  <w:footnote w:type="continuationSeparator" w:id="0">
    <w:p w:rsidR="00BC7175" w:rsidRDefault="00BC7175" w:rsidP="00291A20">
      <w:pPr>
        <w:spacing w:after="0" w:line="240" w:lineRule="auto"/>
      </w:pPr>
      <w:r>
        <w:continuationSeparator/>
      </w:r>
    </w:p>
  </w:footnote>
  <w:footnote w:type="continuationNotice" w:id="1">
    <w:p w:rsidR="00BC7175" w:rsidRDefault="00BC71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57C3E"/>
    <w:multiLevelType w:val="hybridMultilevel"/>
    <w:tmpl w:val="54687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E5520AF"/>
    <w:multiLevelType w:val="hybridMultilevel"/>
    <w:tmpl w:val="22349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32EF"/>
    <w:rsid w:val="000052F6"/>
    <w:rsid w:val="00032E34"/>
    <w:rsid w:val="00064A6D"/>
    <w:rsid w:val="00064C82"/>
    <w:rsid w:val="00087EFE"/>
    <w:rsid w:val="000C3ECC"/>
    <w:rsid w:val="000C518B"/>
    <w:rsid w:val="00110345"/>
    <w:rsid w:val="00124264"/>
    <w:rsid w:val="00125C20"/>
    <w:rsid w:val="0013579F"/>
    <w:rsid w:val="00135BB1"/>
    <w:rsid w:val="00155C48"/>
    <w:rsid w:val="00175BCB"/>
    <w:rsid w:val="00183FB8"/>
    <w:rsid w:val="001A29DB"/>
    <w:rsid w:val="001B6365"/>
    <w:rsid w:val="001C0A87"/>
    <w:rsid w:val="001D20C1"/>
    <w:rsid w:val="001D4F80"/>
    <w:rsid w:val="001F7363"/>
    <w:rsid w:val="00236E20"/>
    <w:rsid w:val="00263DF4"/>
    <w:rsid w:val="00291A20"/>
    <w:rsid w:val="00295472"/>
    <w:rsid w:val="002A72A9"/>
    <w:rsid w:val="002B0BA7"/>
    <w:rsid w:val="002D0821"/>
    <w:rsid w:val="002D265C"/>
    <w:rsid w:val="003129ED"/>
    <w:rsid w:val="003633AF"/>
    <w:rsid w:val="00383D36"/>
    <w:rsid w:val="00385879"/>
    <w:rsid w:val="00392006"/>
    <w:rsid w:val="00394657"/>
    <w:rsid w:val="00395CD0"/>
    <w:rsid w:val="003A1AEA"/>
    <w:rsid w:val="003D67ED"/>
    <w:rsid w:val="003E1D5B"/>
    <w:rsid w:val="00402034"/>
    <w:rsid w:val="00402D90"/>
    <w:rsid w:val="0042796B"/>
    <w:rsid w:val="004311B5"/>
    <w:rsid w:val="004529E3"/>
    <w:rsid w:val="00463A44"/>
    <w:rsid w:val="00477FCF"/>
    <w:rsid w:val="0048160F"/>
    <w:rsid w:val="00482ED5"/>
    <w:rsid w:val="004E6D6D"/>
    <w:rsid w:val="004F75FA"/>
    <w:rsid w:val="00510E7E"/>
    <w:rsid w:val="00535024"/>
    <w:rsid w:val="005666C4"/>
    <w:rsid w:val="00573383"/>
    <w:rsid w:val="005860DD"/>
    <w:rsid w:val="00586B90"/>
    <w:rsid w:val="00593414"/>
    <w:rsid w:val="00611493"/>
    <w:rsid w:val="00616AD4"/>
    <w:rsid w:val="00630029"/>
    <w:rsid w:val="00683174"/>
    <w:rsid w:val="00683940"/>
    <w:rsid w:val="00686F80"/>
    <w:rsid w:val="006871BF"/>
    <w:rsid w:val="006903D5"/>
    <w:rsid w:val="0069508C"/>
    <w:rsid w:val="006A40E7"/>
    <w:rsid w:val="006E44DF"/>
    <w:rsid w:val="0070382C"/>
    <w:rsid w:val="00706688"/>
    <w:rsid w:val="00715BED"/>
    <w:rsid w:val="00726951"/>
    <w:rsid w:val="007276F0"/>
    <w:rsid w:val="00773DEB"/>
    <w:rsid w:val="0077682B"/>
    <w:rsid w:val="007A109C"/>
    <w:rsid w:val="007B2280"/>
    <w:rsid w:val="007B33A8"/>
    <w:rsid w:val="007B7F18"/>
    <w:rsid w:val="007E0FB1"/>
    <w:rsid w:val="00802453"/>
    <w:rsid w:val="008142B1"/>
    <w:rsid w:val="0082424F"/>
    <w:rsid w:val="00854AC3"/>
    <w:rsid w:val="00883EC8"/>
    <w:rsid w:val="008879C1"/>
    <w:rsid w:val="008B4BB9"/>
    <w:rsid w:val="008D051D"/>
    <w:rsid w:val="0090240F"/>
    <w:rsid w:val="00936831"/>
    <w:rsid w:val="00945BFD"/>
    <w:rsid w:val="00974562"/>
    <w:rsid w:val="00982A69"/>
    <w:rsid w:val="0099044F"/>
    <w:rsid w:val="009A2149"/>
    <w:rsid w:val="009A5C4B"/>
    <w:rsid w:val="009A6ECD"/>
    <w:rsid w:val="009D4154"/>
    <w:rsid w:val="009D4172"/>
    <w:rsid w:val="009D6328"/>
    <w:rsid w:val="009E506F"/>
    <w:rsid w:val="00A13197"/>
    <w:rsid w:val="00A14CE3"/>
    <w:rsid w:val="00A513D6"/>
    <w:rsid w:val="00A52DA5"/>
    <w:rsid w:val="00A94223"/>
    <w:rsid w:val="00AA4BF3"/>
    <w:rsid w:val="00AD234E"/>
    <w:rsid w:val="00B14497"/>
    <w:rsid w:val="00B23A61"/>
    <w:rsid w:val="00B24E05"/>
    <w:rsid w:val="00B278BD"/>
    <w:rsid w:val="00B3046D"/>
    <w:rsid w:val="00B30967"/>
    <w:rsid w:val="00B4420F"/>
    <w:rsid w:val="00B57D9C"/>
    <w:rsid w:val="00B70345"/>
    <w:rsid w:val="00B77598"/>
    <w:rsid w:val="00B803C5"/>
    <w:rsid w:val="00B8671B"/>
    <w:rsid w:val="00BA0827"/>
    <w:rsid w:val="00BA66F9"/>
    <w:rsid w:val="00BC402D"/>
    <w:rsid w:val="00BC6C3E"/>
    <w:rsid w:val="00BC7175"/>
    <w:rsid w:val="00BF56DF"/>
    <w:rsid w:val="00C1091B"/>
    <w:rsid w:val="00C14529"/>
    <w:rsid w:val="00C405DE"/>
    <w:rsid w:val="00C504B0"/>
    <w:rsid w:val="00C80EB3"/>
    <w:rsid w:val="00C93E19"/>
    <w:rsid w:val="00CA5F95"/>
    <w:rsid w:val="00CC065A"/>
    <w:rsid w:val="00CD4455"/>
    <w:rsid w:val="00CF468D"/>
    <w:rsid w:val="00D04D0E"/>
    <w:rsid w:val="00D25D0F"/>
    <w:rsid w:val="00D266DF"/>
    <w:rsid w:val="00D60971"/>
    <w:rsid w:val="00D61BCD"/>
    <w:rsid w:val="00D77D24"/>
    <w:rsid w:val="00D81916"/>
    <w:rsid w:val="00D91BD0"/>
    <w:rsid w:val="00DB4FF8"/>
    <w:rsid w:val="00DC62C8"/>
    <w:rsid w:val="00DC6558"/>
    <w:rsid w:val="00DE3839"/>
    <w:rsid w:val="00DE5E36"/>
    <w:rsid w:val="00DF136E"/>
    <w:rsid w:val="00E027DF"/>
    <w:rsid w:val="00E03D11"/>
    <w:rsid w:val="00E05A8C"/>
    <w:rsid w:val="00E11DA5"/>
    <w:rsid w:val="00E308E4"/>
    <w:rsid w:val="00E3343D"/>
    <w:rsid w:val="00E42DEC"/>
    <w:rsid w:val="00E4537E"/>
    <w:rsid w:val="00E63881"/>
    <w:rsid w:val="00E63DE4"/>
    <w:rsid w:val="00E64B4F"/>
    <w:rsid w:val="00E651BA"/>
    <w:rsid w:val="00E8154F"/>
    <w:rsid w:val="00E91772"/>
    <w:rsid w:val="00E92422"/>
    <w:rsid w:val="00EA2EE3"/>
    <w:rsid w:val="00EB3BFD"/>
    <w:rsid w:val="00EB3D6C"/>
    <w:rsid w:val="00EB7550"/>
    <w:rsid w:val="00EC39C0"/>
    <w:rsid w:val="00EE4E61"/>
    <w:rsid w:val="00EF5829"/>
    <w:rsid w:val="00EF6357"/>
    <w:rsid w:val="00F07D8E"/>
    <w:rsid w:val="00F53ECE"/>
    <w:rsid w:val="00F57E5E"/>
    <w:rsid w:val="00F61D0F"/>
    <w:rsid w:val="00F84A73"/>
    <w:rsid w:val="00FA32B4"/>
    <w:rsid w:val="00FA36E7"/>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212965134">
      <w:bodyDiv w:val="1"/>
      <w:marLeft w:val="0"/>
      <w:marRight w:val="0"/>
      <w:marTop w:val="0"/>
      <w:marBottom w:val="0"/>
      <w:divBdr>
        <w:top w:val="none" w:sz="0" w:space="0" w:color="auto"/>
        <w:left w:val="none" w:sz="0" w:space="0" w:color="auto"/>
        <w:bottom w:val="none" w:sz="0" w:space="0" w:color="auto"/>
        <w:right w:val="none" w:sz="0" w:space="0" w:color="auto"/>
      </w:divBdr>
    </w:div>
    <w:div w:id="1337003142">
      <w:bodyDiv w:val="1"/>
      <w:marLeft w:val="0"/>
      <w:marRight w:val="0"/>
      <w:marTop w:val="0"/>
      <w:marBottom w:val="0"/>
      <w:divBdr>
        <w:top w:val="none" w:sz="0" w:space="0" w:color="auto"/>
        <w:left w:val="none" w:sz="0" w:space="0" w:color="auto"/>
        <w:bottom w:val="none" w:sz="0" w:space="0" w:color="auto"/>
        <w:right w:val="none" w:sz="0" w:space="0" w:color="auto"/>
      </w:divBdr>
      <w:divsChild>
        <w:div w:id="1447775138">
          <w:marLeft w:val="0"/>
          <w:marRight w:val="0"/>
          <w:marTop w:val="0"/>
          <w:marBottom w:val="0"/>
          <w:divBdr>
            <w:top w:val="none" w:sz="0" w:space="0" w:color="auto"/>
            <w:left w:val="none" w:sz="0" w:space="0" w:color="auto"/>
            <w:bottom w:val="none" w:sz="0" w:space="0" w:color="auto"/>
            <w:right w:val="none" w:sz="0" w:space="0" w:color="auto"/>
          </w:divBdr>
          <w:divsChild>
            <w:div w:id="1600062243">
              <w:marLeft w:val="0"/>
              <w:marRight w:val="0"/>
              <w:marTop w:val="0"/>
              <w:marBottom w:val="0"/>
              <w:divBdr>
                <w:top w:val="none" w:sz="0" w:space="0" w:color="auto"/>
                <w:left w:val="none" w:sz="0" w:space="0" w:color="auto"/>
                <w:bottom w:val="none" w:sz="0" w:space="0" w:color="auto"/>
                <w:right w:val="none" w:sz="0" w:space="0" w:color="auto"/>
              </w:divBdr>
              <w:divsChild>
                <w:div w:id="1094934907">
                  <w:marLeft w:val="0"/>
                  <w:marRight w:val="0"/>
                  <w:marTop w:val="0"/>
                  <w:marBottom w:val="0"/>
                  <w:divBdr>
                    <w:top w:val="none" w:sz="0" w:space="0" w:color="auto"/>
                    <w:left w:val="none" w:sz="0" w:space="0" w:color="auto"/>
                    <w:bottom w:val="none" w:sz="0" w:space="0" w:color="auto"/>
                    <w:right w:val="none" w:sz="0" w:space="0" w:color="auto"/>
                  </w:divBdr>
                  <w:divsChild>
                    <w:div w:id="1240558321">
                      <w:marLeft w:val="-225"/>
                      <w:marRight w:val="-225"/>
                      <w:marTop w:val="0"/>
                      <w:marBottom w:val="0"/>
                      <w:divBdr>
                        <w:top w:val="none" w:sz="0" w:space="0" w:color="auto"/>
                        <w:left w:val="none" w:sz="0" w:space="0" w:color="auto"/>
                        <w:bottom w:val="none" w:sz="0" w:space="0" w:color="auto"/>
                        <w:right w:val="none" w:sz="0" w:space="0" w:color="auto"/>
                      </w:divBdr>
                      <w:divsChild>
                        <w:div w:id="11806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66">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21700863">
      <w:bodyDiv w:val="1"/>
      <w:marLeft w:val="0"/>
      <w:marRight w:val="0"/>
      <w:marTop w:val="0"/>
      <w:marBottom w:val="0"/>
      <w:divBdr>
        <w:top w:val="none" w:sz="0" w:space="0" w:color="auto"/>
        <w:left w:val="none" w:sz="0" w:space="0" w:color="auto"/>
        <w:bottom w:val="none" w:sz="0" w:space="0" w:color="auto"/>
        <w:right w:val="none" w:sz="0" w:space="0" w:color="auto"/>
      </w:divBdr>
      <w:divsChild>
        <w:div w:id="1583686388">
          <w:marLeft w:val="0"/>
          <w:marRight w:val="0"/>
          <w:marTop w:val="0"/>
          <w:marBottom w:val="0"/>
          <w:divBdr>
            <w:top w:val="none" w:sz="0" w:space="0" w:color="auto"/>
            <w:left w:val="none" w:sz="0" w:space="0" w:color="auto"/>
            <w:bottom w:val="none" w:sz="0" w:space="0" w:color="auto"/>
            <w:right w:val="none" w:sz="0" w:space="0" w:color="auto"/>
          </w:divBdr>
          <w:divsChild>
            <w:div w:id="165295103">
              <w:marLeft w:val="0"/>
              <w:marRight w:val="0"/>
              <w:marTop w:val="0"/>
              <w:marBottom w:val="0"/>
              <w:divBdr>
                <w:top w:val="none" w:sz="0" w:space="0" w:color="auto"/>
                <w:left w:val="none" w:sz="0" w:space="0" w:color="auto"/>
                <w:bottom w:val="none" w:sz="0" w:space="0" w:color="auto"/>
                <w:right w:val="none" w:sz="0" w:space="0" w:color="auto"/>
              </w:divBdr>
            </w:div>
          </w:divsChild>
        </w:div>
        <w:div w:id="587349330">
          <w:marLeft w:val="0"/>
          <w:marRight w:val="0"/>
          <w:marTop w:val="0"/>
          <w:marBottom w:val="0"/>
          <w:divBdr>
            <w:top w:val="none" w:sz="0" w:space="0" w:color="auto"/>
            <w:left w:val="none" w:sz="0" w:space="0" w:color="auto"/>
            <w:bottom w:val="none" w:sz="0" w:space="0" w:color="auto"/>
            <w:right w:val="none" w:sz="0" w:space="0" w:color="auto"/>
          </w:divBdr>
          <w:divsChild>
            <w:div w:id="153231306">
              <w:marLeft w:val="0"/>
              <w:marRight w:val="0"/>
              <w:marTop w:val="0"/>
              <w:marBottom w:val="0"/>
              <w:divBdr>
                <w:top w:val="none" w:sz="0" w:space="0" w:color="auto"/>
                <w:left w:val="none" w:sz="0" w:space="0" w:color="auto"/>
                <w:bottom w:val="none" w:sz="0" w:space="0" w:color="auto"/>
                <w:right w:val="none" w:sz="0" w:space="0" w:color="auto"/>
              </w:divBdr>
            </w:div>
          </w:divsChild>
        </w:div>
        <w:div w:id="1059015177">
          <w:marLeft w:val="0"/>
          <w:marRight w:val="0"/>
          <w:marTop w:val="0"/>
          <w:marBottom w:val="0"/>
          <w:divBdr>
            <w:top w:val="none" w:sz="0" w:space="0" w:color="auto"/>
            <w:left w:val="none" w:sz="0" w:space="0" w:color="auto"/>
            <w:bottom w:val="none" w:sz="0" w:space="0" w:color="auto"/>
            <w:right w:val="none" w:sz="0" w:space="0" w:color="auto"/>
          </w:divBdr>
          <w:divsChild>
            <w:div w:id="1499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1011">
      <w:bodyDiv w:val="1"/>
      <w:marLeft w:val="0"/>
      <w:marRight w:val="0"/>
      <w:marTop w:val="0"/>
      <w:marBottom w:val="0"/>
      <w:divBdr>
        <w:top w:val="none" w:sz="0" w:space="0" w:color="auto"/>
        <w:left w:val="none" w:sz="0" w:space="0" w:color="auto"/>
        <w:bottom w:val="none" w:sz="0" w:space="0" w:color="auto"/>
        <w:right w:val="none" w:sz="0" w:space="0" w:color="auto"/>
      </w:divBdr>
    </w:div>
    <w:div w:id="20244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bm.com/wt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0A73-5005-43EB-8841-4D238386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cp:lastPrinted>2017-04-24T08:53:00Z</cp:lastPrinted>
  <dcterms:created xsi:type="dcterms:W3CDTF">2018-01-18T13:09:00Z</dcterms:created>
  <dcterms:modified xsi:type="dcterms:W3CDTF">2018-01-18T13:09:00Z</dcterms:modified>
  <cp:category>HBM: public</cp:category>
</cp:coreProperties>
</file>