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4D1C5" w14:textId="79CCDACA" w:rsidR="006A40E7" w:rsidRPr="00675CA4" w:rsidRDefault="00F5479E" w:rsidP="009D4154">
      <w:pPr>
        <w:spacing w:after="0"/>
        <w:rPr>
          <w:rFonts w:ascii="Roboto" w:hAnsi="Roboto" w:cs="Arial"/>
          <w:b/>
          <w:sz w:val="28"/>
          <w:szCs w:val="28"/>
          <w:lang w:val="de-DE"/>
        </w:rPr>
      </w:pPr>
      <w:r w:rsidRPr="00F5479E">
        <w:rPr>
          <w:rFonts w:ascii="Roboto" w:hAnsi="Roboto"/>
          <w:b/>
          <w:sz w:val="28"/>
          <w:szCs w:val="28"/>
          <w:lang w:val="de-DE"/>
        </w:rPr>
        <w:t>Neues Online-Portal zum Thema Dehnungsmessung</w:t>
      </w:r>
    </w:p>
    <w:p w14:paraId="53105073" w14:textId="77777777" w:rsidR="00D25D0F" w:rsidRPr="0077682B" w:rsidRDefault="00D25D0F" w:rsidP="00D25D0F">
      <w:pPr>
        <w:spacing w:after="0"/>
        <w:rPr>
          <w:rFonts w:ascii="Roboto" w:hAnsi="Roboto" w:cs="Arial"/>
          <w:b/>
          <w:lang w:val="de-DE"/>
        </w:rPr>
      </w:pPr>
    </w:p>
    <w:p w14:paraId="6FFC4EAC" w14:textId="77777777" w:rsidR="00F5479E" w:rsidRPr="00F5479E" w:rsidRDefault="00F5479E" w:rsidP="00F5479E">
      <w:pPr>
        <w:pStyle w:val="Listenabsatz"/>
        <w:numPr>
          <w:ilvl w:val="0"/>
          <w:numId w:val="2"/>
        </w:numPr>
        <w:rPr>
          <w:rFonts w:ascii="Roboto" w:hAnsi="Roboto"/>
          <w:lang w:val="de-DE"/>
        </w:rPr>
      </w:pPr>
      <w:r w:rsidRPr="00F5479E">
        <w:rPr>
          <w:rFonts w:ascii="Roboto" w:hAnsi="Roboto"/>
          <w:lang w:val="de-DE"/>
        </w:rPr>
        <w:t>Neuer Online-Leitfaden zum Thema Dehnungsmessung: Auswahl, Installation, Date</w:t>
      </w:r>
      <w:r w:rsidRPr="00F5479E">
        <w:rPr>
          <w:rFonts w:ascii="Roboto" w:hAnsi="Roboto"/>
          <w:lang w:val="de-DE"/>
        </w:rPr>
        <w:t>n</w:t>
      </w:r>
      <w:r w:rsidRPr="00F5479E">
        <w:rPr>
          <w:rFonts w:ascii="Roboto" w:hAnsi="Roboto"/>
          <w:lang w:val="de-DE"/>
        </w:rPr>
        <w:t>erfassung und Analyse von Dehnungsmessstreifen</w:t>
      </w:r>
    </w:p>
    <w:p w14:paraId="2CFF2623" w14:textId="77777777" w:rsidR="00F5479E" w:rsidRDefault="00F5479E" w:rsidP="00F5479E">
      <w:pPr>
        <w:pStyle w:val="Listenabsatz"/>
        <w:numPr>
          <w:ilvl w:val="0"/>
          <w:numId w:val="2"/>
        </w:numPr>
        <w:rPr>
          <w:rFonts w:ascii="Roboto" w:hAnsi="Roboto"/>
          <w:lang w:val="de-DE"/>
        </w:rPr>
      </w:pPr>
      <w:r w:rsidRPr="00F5479E">
        <w:rPr>
          <w:rFonts w:ascii="Roboto" w:hAnsi="Roboto"/>
          <w:lang w:val="de-DE"/>
        </w:rPr>
        <w:t>Das "Was", "Wie" und "Warum" der Dehnungsmessung und verwandter Technologie</w:t>
      </w:r>
      <w:r w:rsidRPr="00F5479E">
        <w:rPr>
          <w:rFonts w:ascii="Roboto" w:hAnsi="Roboto"/>
          <w:lang w:val="de-DE"/>
        </w:rPr>
        <w:t>n</w:t>
      </w:r>
    </w:p>
    <w:p w14:paraId="6843B95B" w14:textId="5366D120" w:rsidR="00F5479E" w:rsidRPr="00F5479E" w:rsidRDefault="00F5479E" w:rsidP="00F5479E">
      <w:pPr>
        <w:pStyle w:val="Listenabsatz"/>
        <w:numPr>
          <w:ilvl w:val="0"/>
          <w:numId w:val="2"/>
        </w:numPr>
        <w:rPr>
          <w:rFonts w:ascii="Roboto" w:hAnsi="Roboto"/>
          <w:lang w:val="de-DE"/>
        </w:rPr>
      </w:pPr>
      <w:r w:rsidRPr="00F5479E">
        <w:rPr>
          <w:rFonts w:ascii="Roboto" w:hAnsi="Roboto"/>
          <w:lang w:val="de-DE"/>
        </w:rPr>
        <w:t>Spezielle Abschnitte für Dehnungsmessungen mit elektrischer und optischer Sensor-Technologie</w:t>
      </w:r>
    </w:p>
    <w:p w14:paraId="3132C93C" w14:textId="77777777" w:rsidR="00F5479E" w:rsidRPr="00F5479E" w:rsidRDefault="00F5479E" w:rsidP="00F5479E">
      <w:pPr>
        <w:spacing w:after="0"/>
        <w:rPr>
          <w:rFonts w:ascii="Roboto" w:hAnsi="Roboto"/>
          <w:b/>
          <w:lang w:val="de-DE"/>
        </w:rPr>
      </w:pPr>
      <w:r w:rsidRPr="00F5479E">
        <w:rPr>
          <w:rFonts w:ascii="Roboto" w:hAnsi="Roboto"/>
          <w:b/>
          <w:lang w:val="de-DE"/>
        </w:rPr>
        <w:t>HBM (</w:t>
      </w:r>
      <w:proofErr w:type="spellStart"/>
      <w:r w:rsidRPr="00F5479E">
        <w:rPr>
          <w:rFonts w:ascii="Roboto" w:hAnsi="Roboto"/>
          <w:b/>
          <w:lang w:val="de-DE"/>
        </w:rPr>
        <w:t>Hottinger</w:t>
      </w:r>
      <w:proofErr w:type="spellEnd"/>
      <w:r w:rsidRPr="00F5479E">
        <w:rPr>
          <w:rFonts w:ascii="Roboto" w:hAnsi="Roboto"/>
          <w:b/>
          <w:lang w:val="de-DE"/>
        </w:rPr>
        <w:t xml:space="preserve"> Baldwin Messtechnik) bietet ab sofort einen neuen Online-Leitfaden für De</w:t>
      </w:r>
      <w:r w:rsidRPr="00F5479E">
        <w:rPr>
          <w:rFonts w:ascii="Roboto" w:hAnsi="Roboto"/>
          <w:b/>
          <w:lang w:val="de-DE"/>
        </w:rPr>
        <w:t>h</w:t>
      </w:r>
      <w:r w:rsidRPr="00F5479E">
        <w:rPr>
          <w:rFonts w:ascii="Roboto" w:hAnsi="Roboto"/>
          <w:b/>
          <w:lang w:val="de-DE"/>
        </w:rPr>
        <w:t>nungsmessungen - mit Informationen zu Auswahl, Installation, Datenerfassung und Analyse von elektrischen und optischen Dehnungsmessstreifen. Das neue Portal enthält umfassende Informationen zur Dehnungsmessung, darunter wertvolle Tipps von führenden Experten.</w:t>
      </w:r>
    </w:p>
    <w:p w14:paraId="045ED54C" w14:textId="77777777" w:rsidR="00F5479E" w:rsidRPr="00F5479E" w:rsidRDefault="00F5479E" w:rsidP="00F5479E">
      <w:pPr>
        <w:spacing w:after="0"/>
        <w:rPr>
          <w:rFonts w:ascii="Roboto" w:hAnsi="Roboto"/>
          <w:lang w:val="de-DE"/>
        </w:rPr>
      </w:pPr>
    </w:p>
    <w:p w14:paraId="45297790" w14:textId="77777777" w:rsidR="00F5479E" w:rsidRPr="00F5479E" w:rsidRDefault="00F5479E" w:rsidP="00F5479E">
      <w:pPr>
        <w:spacing w:after="0"/>
        <w:rPr>
          <w:rFonts w:ascii="Roboto" w:hAnsi="Roboto"/>
          <w:lang w:val="de-DE"/>
        </w:rPr>
      </w:pPr>
      <w:r w:rsidRPr="00F5479E">
        <w:rPr>
          <w:rFonts w:ascii="Roboto" w:hAnsi="Roboto"/>
          <w:lang w:val="de-DE"/>
        </w:rPr>
        <w:t>Anwender von Dehnungsmessstreifen sind oft überlastet von der Fülle an Informationen, die es zu diesem Gebiet gibt. Und oft werden sie mangels geeigneter Anleitung von erfahrenen Fachleuten die Versuche, dieses Thema zu erlernen, aufgeben - und so unter Umständen s</w:t>
      </w:r>
      <w:r w:rsidRPr="00F5479E">
        <w:rPr>
          <w:rFonts w:ascii="Roboto" w:hAnsi="Roboto"/>
          <w:lang w:val="de-DE"/>
        </w:rPr>
        <w:t>o</w:t>
      </w:r>
      <w:r w:rsidRPr="00F5479E">
        <w:rPr>
          <w:rFonts w:ascii="Roboto" w:hAnsi="Roboto"/>
          <w:lang w:val="de-DE"/>
        </w:rPr>
        <w:t>gar kosteneffiziente Entscheidungen gefährden, wenn es um die Auswahl des richtigen Messinstruments geht.</w:t>
      </w:r>
    </w:p>
    <w:p w14:paraId="62DC9691" w14:textId="77777777" w:rsidR="00F5479E" w:rsidRPr="00F5479E" w:rsidRDefault="00F5479E" w:rsidP="00F5479E">
      <w:pPr>
        <w:spacing w:after="0"/>
        <w:rPr>
          <w:rFonts w:ascii="Roboto" w:hAnsi="Roboto"/>
          <w:lang w:val="de-DE"/>
        </w:rPr>
      </w:pPr>
    </w:p>
    <w:p w14:paraId="35DA4F14" w14:textId="7BB43DD0" w:rsidR="00F5479E" w:rsidRPr="00F5479E" w:rsidRDefault="00F5479E" w:rsidP="00F5479E">
      <w:pPr>
        <w:spacing w:after="0"/>
        <w:rPr>
          <w:rFonts w:ascii="Roboto" w:hAnsi="Roboto"/>
          <w:lang w:val="de-DE"/>
        </w:rPr>
      </w:pPr>
      <w:r w:rsidRPr="00F5479E">
        <w:rPr>
          <w:rFonts w:ascii="Roboto" w:hAnsi="Roboto"/>
          <w:lang w:val="de-DE"/>
        </w:rPr>
        <w:t>Experten von HBM, einem weltweit führenden Spezialisten für Messtechnik, haben deshalb nun ein neues Online-Portal zum Thema Dehnungsmessungen vorgestellt, um relevante Fr</w:t>
      </w:r>
      <w:r w:rsidRPr="00F5479E">
        <w:rPr>
          <w:rFonts w:ascii="Roboto" w:hAnsi="Roboto"/>
          <w:lang w:val="de-DE"/>
        </w:rPr>
        <w:t>a</w:t>
      </w:r>
      <w:r w:rsidRPr="00F5479E">
        <w:rPr>
          <w:rFonts w:ascii="Roboto" w:hAnsi="Roboto"/>
          <w:lang w:val="de-DE"/>
        </w:rPr>
        <w:t>gen von Anwendern zu beantworten. Dies gilt sowohl für die Arbeit mit "klassischen" elektr</w:t>
      </w:r>
      <w:r w:rsidRPr="00F5479E">
        <w:rPr>
          <w:rFonts w:ascii="Roboto" w:hAnsi="Roboto"/>
          <w:lang w:val="de-DE"/>
        </w:rPr>
        <w:t>i</w:t>
      </w:r>
      <w:r w:rsidRPr="00F5479E">
        <w:rPr>
          <w:rFonts w:ascii="Roboto" w:hAnsi="Roboto"/>
          <w:lang w:val="de-DE"/>
        </w:rPr>
        <w:t>schen Dehnungsmessstreifen, wie auch mit optischen Dehnungssensoren basierend auf F</w:t>
      </w:r>
      <w:r w:rsidRPr="00F5479E">
        <w:rPr>
          <w:rFonts w:ascii="Roboto" w:hAnsi="Roboto"/>
          <w:lang w:val="de-DE"/>
        </w:rPr>
        <w:t>a</w:t>
      </w:r>
      <w:r w:rsidRPr="00F5479E">
        <w:rPr>
          <w:rFonts w:ascii="Roboto" w:hAnsi="Roboto"/>
          <w:lang w:val="de-DE"/>
        </w:rPr>
        <w:t>ser Bragg-</w:t>
      </w:r>
      <w:proofErr w:type="spellStart"/>
      <w:r w:rsidRPr="00F5479E">
        <w:rPr>
          <w:rFonts w:ascii="Roboto" w:hAnsi="Roboto"/>
          <w:lang w:val="de-DE"/>
        </w:rPr>
        <w:t>Gittern.Basierend</w:t>
      </w:r>
      <w:proofErr w:type="spellEnd"/>
      <w:r w:rsidRPr="00F5479E">
        <w:rPr>
          <w:rFonts w:ascii="Roboto" w:hAnsi="Roboto"/>
          <w:lang w:val="de-DE"/>
        </w:rPr>
        <w:t xml:space="preserve"> auf ihrem Wissen steht nun ein ultimativer Schritt-für-Schritt-Online-Leitfaden mit aktualisiertem und beispiellosem Inhalt über optische und elektrische Dehnungsmessungen, Messgeräte und Sensoren bereit.</w:t>
      </w:r>
    </w:p>
    <w:p w14:paraId="13187508" w14:textId="77777777" w:rsidR="00F5479E" w:rsidRPr="00F5479E" w:rsidRDefault="00F5479E" w:rsidP="00F5479E">
      <w:pPr>
        <w:spacing w:after="0"/>
        <w:rPr>
          <w:rFonts w:ascii="Roboto" w:hAnsi="Roboto"/>
          <w:lang w:val="de-DE"/>
        </w:rPr>
      </w:pPr>
    </w:p>
    <w:p w14:paraId="2C4E6CC7" w14:textId="77777777" w:rsidR="00F5479E" w:rsidRPr="00F5479E" w:rsidRDefault="00F5479E" w:rsidP="00F5479E">
      <w:pPr>
        <w:spacing w:after="0"/>
        <w:rPr>
          <w:rFonts w:ascii="Roboto" w:hAnsi="Roboto"/>
          <w:lang w:val="de-DE"/>
        </w:rPr>
      </w:pPr>
      <w:r w:rsidRPr="00F5479E">
        <w:rPr>
          <w:rFonts w:ascii="Roboto" w:hAnsi="Roboto"/>
          <w:lang w:val="de-DE"/>
        </w:rPr>
        <w:t>Durch das Navigieren durch die brandneuen HBM-Webseiten können die Leser das "Was", "Wie" und "Warum" der Dehnungsmessung und verwandter Technologien lernen, einschlie</w:t>
      </w:r>
      <w:r w:rsidRPr="00F5479E">
        <w:rPr>
          <w:rFonts w:ascii="Roboto" w:hAnsi="Roboto"/>
          <w:lang w:val="de-DE"/>
        </w:rPr>
        <w:t>ß</w:t>
      </w:r>
      <w:r w:rsidRPr="00F5479E">
        <w:rPr>
          <w:rFonts w:ascii="Roboto" w:hAnsi="Roboto"/>
          <w:lang w:val="de-DE"/>
        </w:rPr>
        <w:t>lich der Definition von Dehnungen, Tipps für die Auswahl und Installation von Messgeräten und Sensoren , Richtlinien für die Beschaffung von Daten, Arten von Anwendungen, unter vielen anderen Themen.</w:t>
      </w:r>
    </w:p>
    <w:p w14:paraId="57AFE2F6" w14:textId="77777777" w:rsidR="00F5479E" w:rsidRPr="00F5479E" w:rsidRDefault="00F5479E" w:rsidP="00F5479E">
      <w:pPr>
        <w:spacing w:after="0"/>
        <w:rPr>
          <w:rFonts w:ascii="Roboto" w:hAnsi="Roboto"/>
          <w:lang w:val="de-DE"/>
        </w:rPr>
      </w:pPr>
    </w:p>
    <w:p w14:paraId="2FB65F1D" w14:textId="793C73FE" w:rsidR="00F5479E" w:rsidRPr="00F5479E" w:rsidRDefault="00F5479E" w:rsidP="00F5479E">
      <w:pPr>
        <w:spacing w:after="0"/>
        <w:rPr>
          <w:rFonts w:ascii="Roboto" w:hAnsi="Roboto"/>
          <w:lang w:val="de-DE"/>
        </w:rPr>
      </w:pPr>
      <w:r w:rsidRPr="00F5479E">
        <w:rPr>
          <w:rFonts w:ascii="Roboto" w:hAnsi="Roboto"/>
          <w:lang w:val="de-DE"/>
        </w:rPr>
        <w:t>Die Reise beginnt auf der Seite zu den Grundlagen der Dehnungsmessung: Von dort aus kö</w:t>
      </w:r>
      <w:r w:rsidRPr="00F5479E">
        <w:rPr>
          <w:rFonts w:ascii="Roboto" w:hAnsi="Roboto"/>
          <w:lang w:val="de-DE"/>
        </w:rPr>
        <w:t>n</w:t>
      </w:r>
      <w:r w:rsidRPr="00F5479E">
        <w:rPr>
          <w:rFonts w:ascii="Roboto" w:hAnsi="Roboto"/>
          <w:lang w:val="de-DE"/>
        </w:rPr>
        <w:t>nen Anwender wählen, ob sie die Welt der Dehnungsmessstreifen oder das innovative Gebiet der optischen Fasererkennung kennenlernen möchten.</w:t>
      </w:r>
    </w:p>
    <w:p w14:paraId="616E1FD3" w14:textId="026BB647" w:rsidR="00AA4BF3" w:rsidRDefault="00F5479E" w:rsidP="00F5479E">
      <w:pPr>
        <w:spacing w:after="0"/>
        <w:rPr>
          <w:rFonts w:ascii="Roboto" w:hAnsi="Roboto"/>
          <w:lang w:val="de-DE"/>
        </w:rPr>
      </w:pPr>
      <w:r w:rsidRPr="00F5479E">
        <w:rPr>
          <w:rFonts w:ascii="Roboto" w:hAnsi="Roboto"/>
          <w:lang w:val="de-DE"/>
        </w:rPr>
        <w:t>Neben dem Online-Portal bietet die HBM Academy auch ein umfangreiches Seminarangebot zum Thema Dehnungsmessung an, bei dem Anwender ganz praktisch Theorie und Praxis erlernen können.</w:t>
      </w:r>
    </w:p>
    <w:p w14:paraId="58C7BD83" w14:textId="1FEE8E86" w:rsidR="008142B1" w:rsidRPr="00F5479E" w:rsidRDefault="006871BF" w:rsidP="006871BF">
      <w:pPr>
        <w:spacing w:after="0"/>
        <w:rPr>
          <w:rFonts w:ascii="Roboto" w:hAnsi="Roboto"/>
          <w:lang w:val="de-DE"/>
        </w:rPr>
      </w:pPr>
      <w:r w:rsidRPr="00675CA4">
        <w:rPr>
          <w:rFonts w:ascii="Roboto" w:hAnsi="Roboto"/>
          <w:lang w:val="de-DE"/>
        </w:rPr>
        <w:t xml:space="preserve">Weitere Informationen zum Produkt unter: </w:t>
      </w:r>
      <w:hyperlink r:id="rId9" w:history="1">
        <w:r w:rsidR="00F5479E" w:rsidRPr="0012515C">
          <w:rPr>
            <w:rStyle w:val="Hyperlink"/>
            <w:lang w:val="de-DE"/>
          </w:rPr>
          <w:t>https://www.hbm.com/de/7449/neues-online-portal-zum-thema-dehnungsmessung/</w:t>
        </w:r>
      </w:hyperlink>
      <w:r w:rsidR="00F5479E">
        <w:rPr>
          <w:lang w:val="de-DE"/>
        </w:rPr>
        <w:t xml:space="preserve"> (kurzer Link: </w:t>
      </w:r>
      <w:hyperlink r:id="rId10" w:history="1">
        <w:r w:rsidR="00F5479E" w:rsidRPr="0012515C">
          <w:rPr>
            <w:rStyle w:val="Hyperlink"/>
            <w:lang w:val="de-DE"/>
          </w:rPr>
          <w:t>www.hbm.com/dehnungsmessung</w:t>
        </w:r>
      </w:hyperlink>
      <w:r w:rsidR="00F5479E">
        <w:rPr>
          <w:lang w:val="de-DE"/>
        </w:rPr>
        <w:t xml:space="preserve"> )</w:t>
      </w:r>
    </w:p>
    <w:p w14:paraId="01BE3EF5" w14:textId="77777777" w:rsidR="006871BF" w:rsidRPr="0077682B" w:rsidRDefault="006871BF" w:rsidP="006871BF">
      <w:pPr>
        <w:spacing w:after="0"/>
        <w:rPr>
          <w:rFonts w:ascii="Roboto" w:hAnsi="Roboto" w:cs="Arial"/>
          <w:lang w:val="de-DE"/>
        </w:rPr>
      </w:pPr>
    </w:p>
    <w:p w14:paraId="7A81F3D9" w14:textId="5DB2F21B" w:rsidR="006871BF" w:rsidRPr="00032E34" w:rsidRDefault="00F5479E" w:rsidP="00A94223">
      <w:pPr>
        <w:spacing w:after="0"/>
        <w:rPr>
          <w:rFonts w:ascii="Roboto" w:hAnsi="Roboto" w:cs="Arial"/>
        </w:rPr>
      </w:pPr>
      <w:r>
        <w:rPr>
          <w:rFonts w:ascii="Roboto" w:hAnsi="Roboto" w:cs="Arial"/>
          <w:noProof/>
          <w:lang w:val="de-DE"/>
        </w:rPr>
        <w:lastRenderedPageBreak/>
        <w:drawing>
          <wp:inline distT="0" distB="0" distL="0" distR="0" wp14:anchorId="34FEDD23" wp14:editId="458F9887">
            <wp:extent cx="5759450" cy="36296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in_measurement_teaser.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3629660"/>
                    </a:xfrm>
                    <a:prstGeom prst="rect">
                      <a:avLst/>
                    </a:prstGeom>
                  </pic:spPr>
                </pic:pic>
              </a:graphicData>
            </a:graphic>
          </wp:inline>
        </w:drawing>
      </w:r>
    </w:p>
    <w:p w14:paraId="6674CA89" w14:textId="42AEC065" w:rsidR="00616AD4" w:rsidRPr="00675CA4" w:rsidRDefault="00F5479E" w:rsidP="00392006">
      <w:pPr>
        <w:spacing w:after="0"/>
        <w:rPr>
          <w:rFonts w:ascii="Roboto" w:hAnsi="Roboto"/>
          <w:lang w:val="de-DE"/>
        </w:rPr>
      </w:pPr>
      <w:r>
        <w:rPr>
          <w:rFonts w:ascii="Roboto" w:hAnsi="Roboto"/>
          <w:sz w:val="18"/>
          <w:szCs w:val="18"/>
          <w:lang w:val="de-DE"/>
        </w:rPr>
        <w:t xml:space="preserve">Das neue Online-Portal beantwortet häufige Fragen zum Thema Dehnungsmessung. </w:t>
      </w:r>
      <w:bookmarkStart w:id="0" w:name="_GoBack"/>
      <w:bookmarkEnd w:id="0"/>
    </w:p>
    <w:p w14:paraId="298AE088" w14:textId="77777777" w:rsidR="009A2149" w:rsidRPr="00AA4BF3" w:rsidRDefault="009A2149" w:rsidP="009A2149">
      <w:pPr>
        <w:spacing w:line="360" w:lineRule="auto"/>
        <w:ind w:right="1128"/>
        <w:jc w:val="both"/>
        <w:rPr>
          <w:rFonts w:ascii="Roboto" w:hAnsi="Roboto"/>
          <w:b/>
          <w:lang w:val="de-DE" w:eastAsia="en-US"/>
        </w:rPr>
      </w:pPr>
    </w:p>
    <w:p w14:paraId="4FD4976C" w14:textId="77777777" w:rsidR="009A2149" w:rsidRPr="00675CA4" w:rsidRDefault="00392006" w:rsidP="009A2149">
      <w:pPr>
        <w:spacing w:line="360" w:lineRule="auto"/>
        <w:ind w:right="1128"/>
        <w:jc w:val="both"/>
        <w:rPr>
          <w:rFonts w:ascii="Roboto" w:hAnsi="Roboto" w:cs="Arial"/>
          <w:b/>
          <w:bCs/>
          <w:sz w:val="18"/>
          <w:szCs w:val="18"/>
          <w:lang w:val="de-DE"/>
        </w:rPr>
      </w:pPr>
      <w:r w:rsidRPr="00675CA4">
        <w:rPr>
          <w:rFonts w:ascii="Roboto" w:hAnsi="Roboto"/>
          <w:b/>
          <w:sz w:val="18"/>
          <w:szCs w:val="18"/>
          <w:lang w:val="de-DE"/>
        </w:rPr>
        <w:t>Über HBM Test and Measurement</w:t>
      </w:r>
    </w:p>
    <w:p w14:paraId="29C1F828" w14:textId="77777777" w:rsidR="00C1091B" w:rsidRPr="00675CA4" w:rsidRDefault="00392006" w:rsidP="009A2149">
      <w:pPr>
        <w:autoSpaceDE w:val="0"/>
        <w:spacing w:after="120" w:line="360" w:lineRule="auto"/>
        <w:ind w:right="1132"/>
        <w:jc w:val="both"/>
        <w:rPr>
          <w:rFonts w:ascii="Roboto" w:hAnsi="Roboto"/>
          <w:sz w:val="18"/>
          <w:szCs w:val="18"/>
          <w:lang w:val="de-DE"/>
        </w:rPr>
      </w:pPr>
      <w:r w:rsidRPr="00675CA4">
        <w:rPr>
          <w:rFonts w:ascii="Roboto" w:hAnsi="Roboto"/>
          <w:sz w:val="18"/>
          <w:szCs w:val="18"/>
          <w:lang w:val="de-DE"/>
        </w:rPr>
        <w:t>Gegründet 1950 in Deutschland hat sich die Hottinger Baldwin Messtechnik GmbH (HBM Test and Measurement) zum weltweiten Technologie- und Marktführer im Bereich Messtechnik entwickelt. Heute bietet HBM Produkte für die gesamte Messkette, von virtuellen bis zu physikalischen Tests und Prüfungen. Das Unternehmen verfügt über Produktionsstandorte in Deutschland, USA, China und Portugal und ist weltweit in über 80 Ländern vertreten.</w:t>
      </w:r>
    </w:p>
    <w:sectPr w:rsidR="00C1091B" w:rsidRPr="00675CA4" w:rsidSect="000C3ECC">
      <w:headerReference w:type="default" r:id="rId12"/>
      <w:footerReference w:type="default" r:id="rId13"/>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B1C99" w14:textId="77777777" w:rsidR="000A181B" w:rsidRDefault="000A181B" w:rsidP="00291A20">
      <w:pPr>
        <w:spacing w:after="0" w:line="240" w:lineRule="auto"/>
      </w:pPr>
      <w:r>
        <w:separator/>
      </w:r>
    </w:p>
  </w:endnote>
  <w:endnote w:type="continuationSeparator" w:id="0">
    <w:p w14:paraId="31860AB2" w14:textId="77777777" w:rsidR="000A181B" w:rsidRDefault="000A181B" w:rsidP="00291A20">
      <w:pPr>
        <w:spacing w:after="0" w:line="240" w:lineRule="auto"/>
      </w:pPr>
      <w:r>
        <w:continuationSeparator/>
      </w:r>
    </w:p>
  </w:endnote>
  <w:endnote w:type="continuationNotice" w:id="1">
    <w:p w14:paraId="2358F60A" w14:textId="77777777" w:rsidR="000A181B" w:rsidRDefault="000A18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CC771" w14:textId="77777777"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14:paraId="1159DBEB" w14:textId="77777777"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14:paraId="1159DBEB" w14:textId="77777777"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14:paraId="336C111E" w14:textId="77777777"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09835" w14:textId="77777777" w:rsidR="000A181B" w:rsidRDefault="000A181B" w:rsidP="00291A20">
      <w:pPr>
        <w:spacing w:after="0" w:line="240" w:lineRule="auto"/>
      </w:pPr>
      <w:r>
        <w:separator/>
      </w:r>
    </w:p>
  </w:footnote>
  <w:footnote w:type="continuationSeparator" w:id="0">
    <w:p w14:paraId="482AA3B4" w14:textId="77777777" w:rsidR="000A181B" w:rsidRDefault="000A181B" w:rsidP="00291A20">
      <w:pPr>
        <w:spacing w:after="0" w:line="240" w:lineRule="auto"/>
      </w:pPr>
      <w:r>
        <w:continuationSeparator/>
      </w:r>
    </w:p>
  </w:footnote>
  <w:footnote w:type="continuationNotice" w:id="1">
    <w:p w14:paraId="213D7BCA" w14:textId="77777777" w:rsidR="000A181B" w:rsidRDefault="000A18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27E4F" w14:textId="77777777" w:rsidR="000C3ECC" w:rsidRDefault="000C3ECC" w:rsidP="000C3ECC">
    <w:pPr>
      <w:pStyle w:val="Kopfzeile"/>
      <w:rPr>
        <w:rFonts w:ascii="Roboto Black" w:hAnsi="Roboto Black"/>
      </w:rPr>
    </w:pPr>
  </w:p>
  <w:p w14:paraId="7EA49E19" w14:textId="77777777" w:rsidR="00630029" w:rsidRPr="000C3ECC" w:rsidRDefault="001C0A87" w:rsidP="000C3ECC">
    <w:pPr>
      <w:pStyle w:val="Kopfzeile"/>
      <w:rPr>
        <w:rFonts w:ascii="Roboto Light" w:hAnsi="Roboto Light"/>
        <w:color w:val="808080" w:themeColor="background1" w:themeShade="80"/>
        <w:sz w:val="36"/>
        <w:szCs w:val="36"/>
      </w:rPr>
    </w:pPr>
    <w:r>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readOnly" w:enforcement="0"/>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32EF"/>
    <w:rsid w:val="000052F6"/>
    <w:rsid w:val="00032E34"/>
    <w:rsid w:val="00064A6D"/>
    <w:rsid w:val="00064C82"/>
    <w:rsid w:val="00087EFE"/>
    <w:rsid w:val="000A181B"/>
    <w:rsid w:val="000C3ECC"/>
    <w:rsid w:val="000C518B"/>
    <w:rsid w:val="00110345"/>
    <w:rsid w:val="00124264"/>
    <w:rsid w:val="00125C20"/>
    <w:rsid w:val="0013579F"/>
    <w:rsid w:val="00135BB1"/>
    <w:rsid w:val="00155C48"/>
    <w:rsid w:val="00175BCB"/>
    <w:rsid w:val="00183FB8"/>
    <w:rsid w:val="001A29DB"/>
    <w:rsid w:val="001B6365"/>
    <w:rsid w:val="001C0A87"/>
    <w:rsid w:val="001D20C1"/>
    <w:rsid w:val="001D4F80"/>
    <w:rsid w:val="001F7363"/>
    <w:rsid w:val="00236E20"/>
    <w:rsid w:val="00263DF4"/>
    <w:rsid w:val="00291A20"/>
    <w:rsid w:val="00295472"/>
    <w:rsid w:val="002A72A9"/>
    <w:rsid w:val="002B0BA7"/>
    <w:rsid w:val="002D0821"/>
    <w:rsid w:val="002D265C"/>
    <w:rsid w:val="003129ED"/>
    <w:rsid w:val="003633AF"/>
    <w:rsid w:val="00383D36"/>
    <w:rsid w:val="00385879"/>
    <w:rsid w:val="00392006"/>
    <w:rsid w:val="00394657"/>
    <w:rsid w:val="00395CD0"/>
    <w:rsid w:val="003A1AEA"/>
    <w:rsid w:val="003D67ED"/>
    <w:rsid w:val="003E1D5B"/>
    <w:rsid w:val="00402034"/>
    <w:rsid w:val="00402D90"/>
    <w:rsid w:val="0042796B"/>
    <w:rsid w:val="004529E3"/>
    <w:rsid w:val="00463A44"/>
    <w:rsid w:val="00477FCF"/>
    <w:rsid w:val="0048160F"/>
    <w:rsid w:val="00482ED5"/>
    <w:rsid w:val="004E6D6D"/>
    <w:rsid w:val="004F75FA"/>
    <w:rsid w:val="00510E7E"/>
    <w:rsid w:val="00535024"/>
    <w:rsid w:val="005666C4"/>
    <w:rsid w:val="00573383"/>
    <w:rsid w:val="005860DD"/>
    <w:rsid w:val="00586B90"/>
    <w:rsid w:val="00593414"/>
    <w:rsid w:val="00611493"/>
    <w:rsid w:val="00616AD4"/>
    <w:rsid w:val="00630029"/>
    <w:rsid w:val="00675CA4"/>
    <w:rsid w:val="00683174"/>
    <w:rsid w:val="00683940"/>
    <w:rsid w:val="00686F80"/>
    <w:rsid w:val="006871BF"/>
    <w:rsid w:val="006903D5"/>
    <w:rsid w:val="0069508C"/>
    <w:rsid w:val="006A40E7"/>
    <w:rsid w:val="006E44DF"/>
    <w:rsid w:val="0070382C"/>
    <w:rsid w:val="00706688"/>
    <w:rsid w:val="00715BED"/>
    <w:rsid w:val="00726951"/>
    <w:rsid w:val="007276F0"/>
    <w:rsid w:val="00773DEB"/>
    <w:rsid w:val="0077682B"/>
    <w:rsid w:val="007A109C"/>
    <w:rsid w:val="007B2280"/>
    <w:rsid w:val="007B33A8"/>
    <w:rsid w:val="007B7F18"/>
    <w:rsid w:val="007E0FB1"/>
    <w:rsid w:val="00802453"/>
    <w:rsid w:val="008142B1"/>
    <w:rsid w:val="0082424F"/>
    <w:rsid w:val="00854AC3"/>
    <w:rsid w:val="00883EC8"/>
    <w:rsid w:val="008879C1"/>
    <w:rsid w:val="008B4BB9"/>
    <w:rsid w:val="008D051D"/>
    <w:rsid w:val="0090240F"/>
    <w:rsid w:val="00936831"/>
    <w:rsid w:val="00945BFD"/>
    <w:rsid w:val="00974562"/>
    <w:rsid w:val="00982A69"/>
    <w:rsid w:val="0099044F"/>
    <w:rsid w:val="009A2149"/>
    <w:rsid w:val="009A5C4B"/>
    <w:rsid w:val="009A6ECD"/>
    <w:rsid w:val="009D4154"/>
    <w:rsid w:val="009D4172"/>
    <w:rsid w:val="009D6328"/>
    <w:rsid w:val="009E506F"/>
    <w:rsid w:val="009F6B6D"/>
    <w:rsid w:val="00A13197"/>
    <w:rsid w:val="00A14CE3"/>
    <w:rsid w:val="00A513D6"/>
    <w:rsid w:val="00A52DA5"/>
    <w:rsid w:val="00A94223"/>
    <w:rsid w:val="00AA4BF3"/>
    <w:rsid w:val="00AD234E"/>
    <w:rsid w:val="00B14497"/>
    <w:rsid w:val="00B23A61"/>
    <w:rsid w:val="00B24E05"/>
    <w:rsid w:val="00B278BD"/>
    <w:rsid w:val="00B3046D"/>
    <w:rsid w:val="00B30967"/>
    <w:rsid w:val="00B4420F"/>
    <w:rsid w:val="00B57D9C"/>
    <w:rsid w:val="00B70345"/>
    <w:rsid w:val="00B77598"/>
    <w:rsid w:val="00B803C5"/>
    <w:rsid w:val="00B8671B"/>
    <w:rsid w:val="00BA0827"/>
    <w:rsid w:val="00BA66F9"/>
    <w:rsid w:val="00BC402D"/>
    <w:rsid w:val="00BC6C3E"/>
    <w:rsid w:val="00BC7175"/>
    <w:rsid w:val="00BF56DF"/>
    <w:rsid w:val="00C1091B"/>
    <w:rsid w:val="00C14529"/>
    <w:rsid w:val="00C405DE"/>
    <w:rsid w:val="00C80EB3"/>
    <w:rsid w:val="00C93E19"/>
    <w:rsid w:val="00CA5F95"/>
    <w:rsid w:val="00CC065A"/>
    <w:rsid w:val="00CD4455"/>
    <w:rsid w:val="00CF468D"/>
    <w:rsid w:val="00CF5C37"/>
    <w:rsid w:val="00D04D0E"/>
    <w:rsid w:val="00D25D0F"/>
    <w:rsid w:val="00D266DF"/>
    <w:rsid w:val="00D60971"/>
    <w:rsid w:val="00D61BCD"/>
    <w:rsid w:val="00D77D24"/>
    <w:rsid w:val="00D81916"/>
    <w:rsid w:val="00D91BD0"/>
    <w:rsid w:val="00DB4FF8"/>
    <w:rsid w:val="00DC62C8"/>
    <w:rsid w:val="00DC6558"/>
    <w:rsid w:val="00DE3839"/>
    <w:rsid w:val="00DE5E36"/>
    <w:rsid w:val="00DF136E"/>
    <w:rsid w:val="00E027DF"/>
    <w:rsid w:val="00E03D11"/>
    <w:rsid w:val="00E05A8C"/>
    <w:rsid w:val="00E11DA5"/>
    <w:rsid w:val="00E308E4"/>
    <w:rsid w:val="00E3343D"/>
    <w:rsid w:val="00E42DEC"/>
    <w:rsid w:val="00E4537E"/>
    <w:rsid w:val="00E63881"/>
    <w:rsid w:val="00E63DE4"/>
    <w:rsid w:val="00E64B4F"/>
    <w:rsid w:val="00E651BA"/>
    <w:rsid w:val="00E8154F"/>
    <w:rsid w:val="00E91772"/>
    <w:rsid w:val="00E92422"/>
    <w:rsid w:val="00EA2EE3"/>
    <w:rsid w:val="00EB3BFD"/>
    <w:rsid w:val="00EB3D6C"/>
    <w:rsid w:val="00EB7550"/>
    <w:rsid w:val="00EC39C0"/>
    <w:rsid w:val="00EE4E61"/>
    <w:rsid w:val="00EF5829"/>
    <w:rsid w:val="00EF6357"/>
    <w:rsid w:val="00F07D8E"/>
    <w:rsid w:val="00F53ECE"/>
    <w:rsid w:val="00F5479E"/>
    <w:rsid w:val="00F57E5E"/>
    <w:rsid w:val="00F61D0F"/>
    <w:rsid w:val="00F84A73"/>
    <w:rsid w:val="00FA32B4"/>
    <w:rsid w:val="00FA36E7"/>
    <w:rsid w:val="00FC6C47"/>
    <w:rsid w:val="00FC76DE"/>
    <w:rsid w:val="00FD08AF"/>
    <w:rsid w:val="00FE79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489713819">
      <w:bodyDiv w:val="1"/>
      <w:marLeft w:val="0"/>
      <w:marRight w:val="0"/>
      <w:marTop w:val="0"/>
      <w:marBottom w:val="0"/>
      <w:divBdr>
        <w:top w:val="none" w:sz="0" w:space="0" w:color="auto"/>
        <w:left w:val="none" w:sz="0" w:space="0" w:color="auto"/>
        <w:bottom w:val="none" w:sz="0" w:space="0" w:color="auto"/>
        <w:right w:val="none" w:sz="0" w:space="0" w:color="auto"/>
      </w:divBdr>
    </w:div>
    <w:div w:id="975061972">
      <w:bodyDiv w:val="1"/>
      <w:marLeft w:val="0"/>
      <w:marRight w:val="0"/>
      <w:marTop w:val="0"/>
      <w:marBottom w:val="0"/>
      <w:divBdr>
        <w:top w:val="none" w:sz="0" w:space="0" w:color="auto"/>
        <w:left w:val="none" w:sz="0" w:space="0" w:color="auto"/>
        <w:bottom w:val="none" w:sz="0" w:space="0" w:color="auto"/>
        <w:right w:val="none" w:sz="0" w:space="0" w:color="auto"/>
      </w:divBdr>
    </w:div>
    <w:div w:id="1044644388">
      <w:bodyDiv w:val="1"/>
      <w:marLeft w:val="0"/>
      <w:marRight w:val="0"/>
      <w:marTop w:val="0"/>
      <w:marBottom w:val="0"/>
      <w:divBdr>
        <w:top w:val="none" w:sz="0" w:space="0" w:color="auto"/>
        <w:left w:val="none" w:sz="0" w:space="0" w:color="auto"/>
        <w:bottom w:val="none" w:sz="0" w:space="0" w:color="auto"/>
        <w:right w:val="none" w:sz="0" w:space="0" w:color="auto"/>
      </w:divBdr>
      <w:divsChild>
        <w:div w:id="230503833">
          <w:marLeft w:val="0"/>
          <w:marRight w:val="0"/>
          <w:marTop w:val="0"/>
          <w:marBottom w:val="0"/>
          <w:divBdr>
            <w:top w:val="none" w:sz="0" w:space="0" w:color="auto"/>
            <w:left w:val="none" w:sz="0" w:space="0" w:color="auto"/>
            <w:bottom w:val="none" w:sz="0" w:space="0" w:color="auto"/>
            <w:right w:val="none" w:sz="0" w:space="0" w:color="auto"/>
          </w:divBdr>
          <w:divsChild>
            <w:div w:id="629359214">
              <w:marLeft w:val="-225"/>
              <w:marRight w:val="-225"/>
              <w:marTop w:val="0"/>
              <w:marBottom w:val="0"/>
              <w:divBdr>
                <w:top w:val="none" w:sz="0" w:space="0" w:color="auto"/>
                <w:left w:val="none" w:sz="0" w:space="0" w:color="auto"/>
                <w:bottom w:val="none" w:sz="0" w:space="0" w:color="auto"/>
                <w:right w:val="none" w:sz="0" w:space="0" w:color="auto"/>
              </w:divBdr>
              <w:divsChild>
                <w:div w:id="1119884017">
                  <w:marLeft w:val="0"/>
                  <w:marRight w:val="0"/>
                  <w:marTop w:val="0"/>
                  <w:marBottom w:val="0"/>
                  <w:divBdr>
                    <w:top w:val="none" w:sz="0" w:space="0" w:color="auto"/>
                    <w:left w:val="none" w:sz="0" w:space="0" w:color="auto"/>
                    <w:bottom w:val="none" w:sz="0" w:space="0" w:color="auto"/>
                    <w:right w:val="none" w:sz="0" w:space="0" w:color="auto"/>
                  </w:divBdr>
                  <w:divsChild>
                    <w:div w:id="3166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528176425">
      <w:bodyDiv w:val="1"/>
      <w:marLeft w:val="0"/>
      <w:marRight w:val="0"/>
      <w:marTop w:val="0"/>
      <w:marBottom w:val="0"/>
      <w:divBdr>
        <w:top w:val="none" w:sz="0" w:space="0" w:color="auto"/>
        <w:left w:val="none" w:sz="0" w:space="0" w:color="auto"/>
        <w:bottom w:val="none" w:sz="0" w:space="0" w:color="auto"/>
        <w:right w:val="none" w:sz="0" w:space="0" w:color="auto"/>
      </w:divBdr>
    </w:div>
    <w:div w:id="1800487350">
      <w:bodyDiv w:val="1"/>
      <w:marLeft w:val="0"/>
      <w:marRight w:val="0"/>
      <w:marTop w:val="0"/>
      <w:marBottom w:val="0"/>
      <w:divBdr>
        <w:top w:val="none" w:sz="0" w:space="0" w:color="auto"/>
        <w:left w:val="none" w:sz="0" w:space="0" w:color="auto"/>
        <w:bottom w:val="none" w:sz="0" w:space="0" w:color="auto"/>
        <w:right w:val="none" w:sz="0" w:space="0" w:color="auto"/>
      </w:divBdr>
    </w:div>
    <w:div w:id="20539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bm.com/dehnungsmessung" TargetMode="External"/><Relationship Id="rId4" Type="http://schemas.microsoft.com/office/2007/relationships/stylesWithEffects" Target="stylesWithEffects.xml"/><Relationship Id="rId9" Type="http://schemas.openxmlformats.org/officeDocument/2006/relationships/hyperlink" Target="https://www.hbm.com/de/7449/neues-online-portal-zum-thema-dehnungsmessu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70B30-A1CC-4F76-B9E0-E0E38CEB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(2).dotx</Template>
  <TotalTime>0</TotalTime>
  <Pages>2</Pages>
  <Words>448</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2</cp:revision>
  <cp:lastPrinted>2017-04-24T08:53:00Z</cp:lastPrinted>
  <dcterms:created xsi:type="dcterms:W3CDTF">2018-01-29T16:08:00Z</dcterms:created>
  <dcterms:modified xsi:type="dcterms:W3CDTF">2018-01-29T16:08:00Z</dcterms:modified>
  <cp:category>HBM: public</cp:category>
</cp:coreProperties>
</file>