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D0F" w:rsidRPr="0077682B" w:rsidRDefault="00152D24" w:rsidP="00D25D0F">
      <w:pPr>
        <w:spacing w:after="0"/>
        <w:rPr>
          <w:rFonts w:ascii="Roboto" w:hAnsi="Roboto" w:cs="Arial"/>
          <w:b/>
          <w:lang w:val="de-DE"/>
        </w:rPr>
      </w:pPr>
      <w:r w:rsidRPr="00152D24">
        <w:rPr>
          <w:rFonts w:ascii="Roboto" w:hAnsi="Roboto"/>
          <w:b/>
          <w:sz w:val="28"/>
          <w:szCs w:val="28"/>
          <w:lang w:val="de-DE"/>
        </w:rPr>
        <w:t>Präzise wiegen: Die neue Plattform-</w:t>
      </w:r>
      <w:proofErr w:type="spellStart"/>
      <w:r w:rsidRPr="00152D24">
        <w:rPr>
          <w:rFonts w:ascii="Roboto" w:hAnsi="Roboto"/>
          <w:b/>
          <w:sz w:val="28"/>
          <w:szCs w:val="28"/>
          <w:lang w:val="de-DE"/>
        </w:rPr>
        <w:t>Wägezelle</w:t>
      </w:r>
      <w:proofErr w:type="spellEnd"/>
      <w:r w:rsidRPr="00152D24">
        <w:rPr>
          <w:rFonts w:ascii="Roboto" w:hAnsi="Roboto"/>
          <w:b/>
          <w:sz w:val="28"/>
          <w:szCs w:val="28"/>
          <w:lang w:val="de-DE"/>
        </w:rPr>
        <w:t xml:space="preserve"> PW15AHY von HBM mit Höchstteilungsfaktor </w:t>
      </w:r>
      <w:r w:rsidR="00446F84">
        <w:rPr>
          <w:rFonts w:ascii="Roboto" w:hAnsi="Roboto"/>
          <w:b/>
          <w:sz w:val="28"/>
          <w:szCs w:val="28"/>
          <w:lang w:val="de-DE"/>
        </w:rPr>
        <w:t>(Y) von</w:t>
      </w:r>
      <w:r w:rsidRPr="00152D24">
        <w:rPr>
          <w:rFonts w:ascii="Roboto" w:hAnsi="Roboto"/>
          <w:b/>
          <w:sz w:val="28"/>
          <w:szCs w:val="28"/>
          <w:lang w:val="de-DE"/>
        </w:rPr>
        <w:t xml:space="preserve"> 25.000</w:t>
      </w:r>
    </w:p>
    <w:p w:rsidR="00446F84" w:rsidRPr="00446F84" w:rsidRDefault="00446F84" w:rsidP="00446F84">
      <w:pPr>
        <w:numPr>
          <w:ilvl w:val="0"/>
          <w:numId w:val="6"/>
        </w:numPr>
        <w:spacing w:before="100" w:beforeAutospacing="1" w:after="90" w:line="240" w:lineRule="auto"/>
        <w:ind w:left="495"/>
        <w:rPr>
          <w:rFonts w:ascii="Times New Roman" w:hAnsi="Times New Roman"/>
          <w:sz w:val="24"/>
          <w:szCs w:val="24"/>
          <w:lang w:val="de-DE"/>
        </w:rPr>
      </w:pPr>
      <w:r w:rsidRPr="00446F84">
        <w:rPr>
          <w:rFonts w:ascii="Times New Roman" w:hAnsi="Times New Roman"/>
          <w:sz w:val="24"/>
          <w:szCs w:val="24"/>
          <w:lang w:val="de-DE"/>
        </w:rPr>
        <w:t>Genauigkeitsklasse C3 (Multi-Range), Y</w:t>
      </w:r>
      <w:r w:rsidRPr="00446F84">
        <w:rPr>
          <w:rFonts w:ascii="Arial" w:hAnsi="Arial" w:cs="Arial"/>
          <w:color w:val="333333"/>
          <w:shd w:val="clear" w:color="auto" w:fill="FFFFFF"/>
          <w:lang w:val="de-DE"/>
        </w:rPr>
        <w:t xml:space="preserve"> = </w:t>
      </w:r>
      <w:r w:rsidRPr="00446F84">
        <w:rPr>
          <w:rFonts w:ascii="Times New Roman" w:hAnsi="Times New Roman"/>
          <w:sz w:val="24"/>
          <w:szCs w:val="24"/>
          <w:lang w:val="de-DE"/>
        </w:rPr>
        <w:t xml:space="preserve">25.000 </w:t>
      </w:r>
    </w:p>
    <w:p w:rsidR="00446F84" w:rsidRPr="004F2D84" w:rsidRDefault="00446F84" w:rsidP="00446F84">
      <w:pPr>
        <w:numPr>
          <w:ilvl w:val="0"/>
          <w:numId w:val="6"/>
        </w:numPr>
        <w:spacing w:before="100" w:beforeAutospacing="1" w:after="90" w:line="240" w:lineRule="auto"/>
        <w:ind w:left="495"/>
        <w:rPr>
          <w:rFonts w:ascii="Times New Roman" w:hAnsi="Times New Roman"/>
          <w:sz w:val="24"/>
          <w:szCs w:val="24"/>
        </w:rPr>
      </w:pPr>
      <w:proofErr w:type="spellStart"/>
      <w:r w:rsidRPr="004F2D84">
        <w:rPr>
          <w:rFonts w:ascii="Times New Roman" w:hAnsi="Times New Roman"/>
          <w:sz w:val="24"/>
          <w:szCs w:val="24"/>
        </w:rPr>
        <w:t>Für</w:t>
      </w:r>
      <w:proofErr w:type="spellEnd"/>
      <w:r w:rsidRPr="004F2D84">
        <w:rPr>
          <w:rFonts w:ascii="Times New Roman" w:hAnsi="Times New Roman"/>
          <w:sz w:val="24"/>
          <w:szCs w:val="24"/>
        </w:rPr>
        <w:t xml:space="preserve"> </w:t>
      </w:r>
      <w:proofErr w:type="spellStart"/>
      <w:r w:rsidRPr="004F2D84">
        <w:rPr>
          <w:rFonts w:ascii="Times New Roman" w:hAnsi="Times New Roman"/>
          <w:sz w:val="24"/>
          <w:szCs w:val="24"/>
        </w:rPr>
        <w:t>Nennlasten</w:t>
      </w:r>
      <w:proofErr w:type="spellEnd"/>
      <w:r w:rsidRPr="004F2D84">
        <w:rPr>
          <w:rFonts w:ascii="Times New Roman" w:hAnsi="Times New Roman"/>
          <w:sz w:val="24"/>
          <w:szCs w:val="24"/>
        </w:rPr>
        <w:t xml:space="preserve"> von </w:t>
      </w:r>
      <w:r>
        <w:rPr>
          <w:rFonts w:ascii="Times New Roman" w:hAnsi="Times New Roman"/>
          <w:sz w:val="24"/>
          <w:szCs w:val="24"/>
        </w:rPr>
        <w:t xml:space="preserve">10 bis 100 </w:t>
      </w:r>
      <w:r w:rsidRPr="004F2D84">
        <w:rPr>
          <w:rFonts w:ascii="Times New Roman" w:hAnsi="Times New Roman"/>
          <w:sz w:val="24"/>
          <w:szCs w:val="24"/>
        </w:rPr>
        <w:t>kg</w:t>
      </w:r>
    </w:p>
    <w:p w:rsidR="00446F84" w:rsidRPr="00446F84" w:rsidRDefault="00446F84" w:rsidP="00446F84">
      <w:pPr>
        <w:numPr>
          <w:ilvl w:val="0"/>
          <w:numId w:val="6"/>
        </w:numPr>
        <w:spacing w:before="100" w:beforeAutospacing="1" w:after="90" w:line="240" w:lineRule="auto"/>
        <w:ind w:left="495"/>
        <w:rPr>
          <w:rFonts w:ascii="Times New Roman" w:hAnsi="Times New Roman"/>
          <w:sz w:val="24"/>
          <w:szCs w:val="24"/>
          <w:lang w:val="de-DE"/>
        </w:rPr>
      </w:pPr>
      <w:r w:rsidRPr="00446F84">
        <w:rPr>
          <w:rFonts w:ascii="Times New Roman" w:hAnsi="Times New Roman"/>
          <w:sz w:val="24"/>
          <w:szCs w:val="24"/>
          <w:lang w:val="de-DE"/>
        </w:rPr>
        <w:t>Schutzart IP68/69k und hermetische Metallkapselung</w:t>
      </w:r>
    </w:p>
    <w:p w:rsidR="00A94223" w:rsidRPr="0077682B" w:rsidRDefault="00A94223" w:rsidP="009A2149">
      <w:pPr>
        <w:spacing w:after="0"/>
        <w:rPr>
          <w:rFonts w:ascii="Roboto" w:hAnsi="Roboto" w:cs="Arial"/>
          <w:lang w:val="de-DE"/>
        </w:rPr>
      </w:pPr>
    </w:p>
    <w:p w:rsidR="00D048BC" w:rsidRPr="00446F84" w:rsidRDefault="00446F84" w:rsidP="00446F84">
      <w:pPr>
        <w:spacing w:after="158" w:line="240" w:lineRule="auto"/>
        <w:rPr>
          <w:rFonts w:ascii="Times New Roman" w:hAnsi="Times New Roman"/>
          <w:b/>
          <w:bCs/>
          <w:sz w:val="24"/>
          <w:szCs w:val="24"/>
          <w:lang w:val="de-DE"/>
        </w:rPr>
      </w:pPr>
      <w:r w:rsidRPr="00446F84">
        <w:rPr>
          <w:rFonts w:ascii="Times New Roman" w:hAnsi="Times New Roman"/>
          <w:b/>
          <w:bCs/>
          <w:sz w:val="24"/>
          <w:szCs w:val="24"/>
          <w:lang w:val="de-DE"/>
        </w:rPr>
        <w:t xml:space="preserve">HBM erweitert sein Portfolio an eichfähigen </w:t>
      </w:r>
      <w:proofErr w:type="spellStart"/>
      <w:r w:rsidRPr="00446F84">
        <w:rPr>
          <w:rFonts w:ascii="Times New Roman" w:hAnsi="Times New Roman"/>
          <w:b/>
          <w:bCs/>
          <w:sz w:val="24"/>
          <w:szCs w:val="24"/>
          <w:lang w:val="de-DE"/>
        </w:rPr>
        <w:t>Wägezellen</w:t>
      </w:r>
      <w:proofErr w:type="spellEnd"/>
      <w:r w:rsidRPr="00446F84">
        <w:rPr>
          <w:rFonts w:ascii="Times New Roman" w:hAnsi="Times New Roman"/>
          <w:b/>
          <w:bCs/>
          <w:sz w:val="24"/>
          <w:szCs w:val="24"/>
          <w:lang w:val="de-DE"/>
        </w:rPr>
        <w:t xml:space="preserve"> im SP4-Industrie Footprint:  Die neue Plattform-</w:t>
      </w:r>
      <w:proofErr w:type="spellStart"/>
      <w:r w:rsidRPr="00446F84">
        <w:rPr>
          <w:rFonts w:ascii="Times New Roman" w:hAnsi="Times New Roman"/>
          <w:b/>
          <w:bCs/>
          <w:sz w:val="24"/>
          <w:szCs w:val="24"/>
          <w:lang w:val="de-DE"/>
        </w:rPr>
        <w:t>Wägezelle</w:t>
      </w:r>
      <w:proofErr w:type="spellEnd"/>
      <w:r w:rsidRPr="00446F84">
        <w:rPr>
          <w:rFonts w:ascii="Times New Roman" w:hAnsi="Times New Roman"/>
          <w:b/>
          <w:bCs/>
          <w:sz w:val="24"/>
          <w:szCs w:val="24"/>
          <w:lang w:val="de-DE"/>
        </w:rPr>
        <w:t xml:space="preserve"> PW15AHY verfügt über einen Höchstteilungsfaktor (Y) von 25.000 und ermöglicht Wägungen bis zur höchsten Auflösung. </w:t>
      </w:r>
    </w:p>
    <w:p w:rsidR="00FA36E7" w:rsidRPr="00446F84" w:rsidRDefault="00446F84" w:rsidP="00446F84">
      <w:pPr>
        <w:spacing w:after="158" w:line="240" w:lineRule="auto"/>
        <w:rPr>
          <w:rFonts w:ascii="Times New Roman" w:hAnsi="Times New Roman"/>
          <w:sz w:val="24"/>
          <w:szCs w:val="24"/>
          <w:lang w:val="de-DE"/>
        </w:rPr>
      </w:pPr>
      <w:r w:rsidRPr="00446F84">
        <w:rPr>
          <w:rFonts w:ascii="Times New Roman" w:hAnsi="Times New Roman"/>
          <w:sz w:val="24"/>
          <w:szCs w:val="24"/>
          <w:lang w:val="de-DE"/>
        </w:rPr>
        <w:t xml:space="preserve">Typischerweise wird PW15AHY in automatischen Wiegesystemen in der Industrie, in Ladentischwaagen oder in anderen Anwendungen mit breitem Messbereich eingesetzt. Die </w:t>
      </w:r>
      <w:proofErr w:type="spellStart"/>
      <w:r w:rsidRPr="00446F84">
        <w:rPr>
          <w:rFonts w:ascii="Times New Roman" w:hAnsi="Times New Roman"/>
          <w:sz w:val="24"/>
          <w:szCs w:val="24"/>
          <w:lang w:val="de-DE"/>
        </w:rPr>
        <w:t>Plattformwägezelle</w:t>
      </w:r>
      <w:proofErr w:type="spellEnd"/>
      <w:r w:rsidRPr="00446F84">
        <w:rPr>
          <w:rFonts w:ascii="Times New Roman" w:hAnsi="Times New Roman"/>
          <w:sz w:val="24"/>
          <w:szCs w:val="24"/>
          <w:lang w:val="de-DE"/>
        </w:rPr>
        <w:t xml:space="preserve"> besitzt einen stabilen Messkörper aus rostfreiem Stahl, Schutzart IP68/IP69k sowie eine hermetische Metallkapselung.  Dadurch ist es möglich, sowohl unter widrigen Umgebungsbedingungen als auch beim dauerhaften Einsatz unter hoher Luftfeuchtigkeit zuverlässige Messergebnisse zu erzielen. Wie andere </w:t>
      </w:r>
      <w:proofErr w:type="spellStart"/>
      <w:r w:rsidRPr="00446F84">
        <w:rPr>
          <w:rFonts w:ascii="Times New Roman" w:hAnsi="Times New Roman"/>
          <w:sz w:val="24"/>
          <w:szCs w:val="24"/>
          <w:lang w:val="de-DE"/>
        </w:rPr>
        <w:t>Wägezellen</w:t>
      </w:r>
      <w:proofErr w:type="spellEnd"/>
      <w:r w:rsidRPr="00446F84">
        <w:rPr>
          <w:rFonts w:ascii="Times New Roman" w:hAnsi="Times New Roman"/>
          <w:sz w:val="24"/>
          <w:szCs w:val="24"/>
          <w:lang w:val="de-DE"/>
        </w:rPr>
        <w:t xml:space="preserve"> von HBM verfügt auch PW15AHY über 6-Leiter-Technologie und die damit verbundene hohe Signalstabilität. </w:t>
      </w:r>
    </w:p>
    <w:p w:rsidR="00AA4BF3" w:rsidRDefault="00AA4BF3" w:rsidP="007B33A8">
      <w:pPr>
        <w:spacing w:after="0"/>
        <w:rPr>
          <w:rFonts w:ascii="Roboto" w:hAnsi="Roboto"/>
          <w:lang w:val="de-DE"/>
        </w:rPr>
      </w:pPr>
    </w:p>
    <w:p w:rsidR="00D81916" w:rsidRPr="00F61D0F" w:rsidRDefault="00446F84" w:rsidP="006871BF">
      <w:pPr>
        <w:spacing w:after="0"/>
        <w:rPr>
          <w:rFonts w:ascii="Roboto" w:hAnsi="Roboto"/>
          <w:b/>
          <w:lang w:val="de-DE"/>
        </w:rPr>
      </w:pPr>
      <w:r>
        <w:rPr>
          <w:rFonts w:ascii="Roboto" w:hAnsi="Roboto"/>
          <w:b/>
          <w:lang w:val="de-DE"/>
        </w:rPr>
        <w:t>Vielseitig und einfach zu integrieren</w:t>
      </w:r>
    </w:p>
    <w:p w:rsidR="00446F84" w:rsidRPr="00446F84" w:rsidRDefault="00446F84" w:rsidP="00446F84">
      <w:pPr>
        <w:spacing w:after="158" w:line="240" w:lineRule="auto"/>
        <w:rPr>
          <w:rFonts w:ascii="Times New Roman" w:hAnsi="Times New Roman"/>
          <w:sz w:val="24"/>
          <w:szCs w:val="24"/>
          <w:lang w:val="de-DE"/>
        </w:rPr>
      </w:pPr>
      <w:r w:rsidRPr="00446F84">
        <w:rPr>
          <w:rFonts w:ascii="Times New Roman" w:hAnsi="Times New Roman"/>
          <w:sz w:val="24"/>
          <w:szCs w:val="24"/>
          <w:lang w:val="de-DE"/>
        </w:rPr>
        <w:t>PW15AHY ist in vier Nennlasten (10, 20, 50 und 100 kg) verfügbar und ist in den industrietypischen SP4-Standardmaßen ausgelegt, was die Integration in bestehende Anlagen maßgeblich erleichtert. Darüber hinaus gibt es auch eine Variante der Plattform-</w:t>
      </w:r>
      <w:proofErr w:type="spellStart"/>
      <w:r w:rsidRPr="00446F84">
        <w:rPr>
          <w:rFonts w:ascii="Times New Roman" w:hAnsi="Times New Roman"/>
          <w:sz w:val="24"/>
          <w:szCs w:val="24"/>
          <w:lang w:val="de-DE"/>
        </w:rPr>
        <w:t>Wägezelle</w:t>
      </w:r>
      <w:proofErr w:type="spellEnd"/>
      <w:r w:rsidRPr="00446F84">
        <w:rPr>
          <w:rFonts w:ascii="Times New Roman" w:hAnsi="Times New Roman"/>
          <w:sz w:val="24"/>
          <w:szCs w:val="24"/>
          <w:lang w:val="de-DE"/>
        </w:rPr>
        <w:t xml:space="preserve"> mit Anschlussstecker (PW15PHY). </w:t>
      </w:r>
    </w:p>
    <w:p w:rsidR="00616AD4" w:rsidRPr="0077682B" w:rsidRDefault="00616AD4" w:rsidP="000C3ECC">
      <w:pPr>
        <w:spacing w:after="0"/>
        <w:rPr>
          <w:rFonts w:ascii="Roboto" w:hAnsi="Roboto" w:cs="Arial"/>
          <w:lang w:val="de-DE"/>
        </w:rPr>
      </w:pPr>
    </w:p>
    <w:p w:rsidR="008142B1" w:rsidRPr="00F61D0F" w:rsidRDefault="006871BF" w:rsidP="006871BF">
      <w:pPr>
        <w:spacing w:after="0"/>
        <w:rPr>
          <w:rFonts w:ascii="Roboto" w:hAnsi="Roboto"/>
          <w:lang w:val="de-DE"/>
        </w:rPr>
      </w:pPr>
      <w:r w:rsidRPr="00F61D0F">
        <w:rPr>
          <w:rFonts w:ascii="Roboto" w:hAnsi="Roboto"/>
          <w:lang w:val="de-DE"/>
        </w:rPr>
        <w:t>Weitere Informationen zum Produkt unter:</w:t>
      </w:r>
      <w:r w:rsidR="00446F84" w:rsidRPr="00446F84">
        <w:rPr>
          <w:lang w:val="de-DE"/>
        </w:rPr>
        <w:t xml:space="preserve"> </w:t>
      </w:r>
      <w:hyperlink r:id="rId8" w:history="1">
        <w:r w:rsidR="00446F84" w:rsidRPr="00443449">
          <w:rPr>
            <w:rStyle w:val="Hyperlink"/>
            <w:rFonts w:ascii="Roboto" w:hAnsi="Roboto"/>
            <w:lang w:val="de-DE"/>
          </w:rPr>
          <w:t>https://www.hbm.com/de/pw15ahy</w:t>
        </w:r>
      </w:hyperlink>
      <w:r w:rsidR="00446F84">
        <w:rPr>
          <w:rFonts w:ascii="Roboto" w:hAnsi="Roboto"/>
          <w:lang w:val="de-DE"/>
        </w:rPr>
        <w:t xml:space="preserve"> </w:t>
      </w:r>
    </w:p>
    <w:p w:rsidR="006871BF" w:rsidRPr="0077682B" w:rsidRDefault="006871BF" w:rsidP="006871BF">
      <w:pPr>
        <w:spacing w:after="0"/>
        <w:rPr>
          <w:rFonts w:ascii="Roboto" w:hAnsi="Roboto" w:cs="Arial"/>
          <w:lang w:val="de-DE"/>
        </w:rPr>
      </w:pPr>
    </w:p>
    <w:p w:rsidR="006871BF" w:rsidRPr="00032E34" w:rsidRDefault="0042681B" w:rsidP="00A94223">
      <w:pPr>
        <w:spacing w:after="0"/>
        <w:rPr>
          <w:rFonts w:ascii="Roboto" w:hAnsi="Roboto" w:cs="Arial"/>
        </w:rPr>
      </w:pPr>
      <w:r>
        <w:rPr>
          <w:noProof/>
        </w:rPr>
        <w:drawing>
          <wp:inline distT="0" distB="0" distL="0" distR="0" wp14:anchorId="491960FE" wp14:editId="4B804A10">
            <wp:extent cx="3106420" cy="2339975"/>
            <wp:effectExtent l="0" t="0" r="0" b="3175"/>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9" cstate="print">
                      <a:extLst>
                        <a:ext uri="{28A0092B-C50C-407E-A947-70E740481C1C}">
                          <a14:useLocalDpi xmlns:a14="http://schemas.microsoft.com/office/drawing/2010/main" val="0"/>
                        </a:ext>
                      </a:extLst>
                    </a:blip>
                    <a:srcRect t="-6" b="-6"/>
                    <a:stretch/>
                  </pic:blipFill>
                  <pic:spPr bwMode="auto">
                    <a:xfrm>
                      <a:off x="0" y="0"/>
                      <a:ext cx="3106420" cy="233997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446F84" w:rsidRPr="00446F84" w:rsidRDefault="00446F84" w:rsidP="00446F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val="de-DE"/>
        </w:rPr>
      </w:pPr>
      <w:r w:rsidRPr="00446F84">
        <w:rPr>
          <w:rFonts w:ascii="inherit" w:hAnsi="inherit" w:cs="Courier New"/>
          <w:color w:val="212121"/>
          <w:sz w:val="20"/>
          <w:szCs w:val="20"/>
          <w:lang w:val="de-DE"/>
        </w:rPr>
        <w:t xml:space="preserve">PW15AH ist jetzt auch mit einem </w:t>
      </w:r>
      <w:r>
        <w:rPr>
          <w:rFonts w:ascii="inherit" w:hAnsi="inherit" w:cs="Courier New"/>
          <w:color w:val="212121"/>
          <w:sz w:val="20"/>
          <w:szCs w:val="20"/>
          <w:lang w:val="de-DE"/>
        </w:rPr>
        <w:t xml:space="preserve">Höchstteilungsfaktor </w:t>
      </w:r>
      <w:r w:rsidRPr="00446F84">
        <w:rPr>
          <w:rFonts w:ascii="inherit" w:hAnsi="inherit" w:cs="Courier New"/>
          <w:color w:val="212121"/>
          <w:sz w:val="20"/>
          <w:szCs w:val="20"/>
          <w:lang w:val="de-DE"/>
        </w:rPr>
        <w:t>(Y) von 25.000 verfügbar (Bild: HBM)</w:t>
      </w:r>
    </w:p>
    <w:p w:rsidR="009A2149" w:rsidRDefault="009A2149" w:rsidP="009A2149">
      <w:pPr>
        <w:spacing w:line="360" w:lineRule="auto"/>
        <w:ind w:right="1128"/>
        <w:jc w:val="both"/>
        <w:rPr>
          <w:rFonts w:ascii="Roboto" w:hAnsi="Roboto"/>
          <w:b/>
          <w:lang w:val="de-DE" w:eastAsia="en-US"/>
        </w:rPr>
      </w:pPr>
    </w:p>
    <w:p w:rsidR="0042681B" w:rsidRPr="00AA4BF3" w:rsidRDefault="0042681B" w:rsidP="009A2149">
      <w:pPr>
        <w:spacing w:line="360" w:lineRule="auto"/>
        <w:ind w:right="1128"/>
        <w:jc w:val="both"/>
        <w:rPr>
          <w:rFonts w:ascii="Roboto" w:hAnsi="Roboto"/>
          <w:b/>
          <w:lang w:val="de-DE" w:eastAsia="en-US"/>
        </w:rPr>
      </w:pPr>
    </w:p>
    <w:p w:rsidR="009A2149" w:rsidRPr="00F61D0F" w:rsidRDefault="00392006" w:rsidP="009A2149">
      <w:pPr>
        <w:spacing w:line="360" w:lineRule="auto"/>
        <w:ind w:right="1128"/>
        <w:jc w:val="both"/>
        <w:rPr>
          <w:rFonts w:ascii="Roboto" w:hAnsi="Roboto" w:cs="Arial"/>
          <w:b/>
          <w:bCs/>
          <w:sz w:val="18"/>
          <w:szCs w:val="18"/>
          <w:lang w:val="de-DE"/>
        </w:rPr>
      </w:pPr>
      <w:r w:rsidRPr="00F61D0F">
        <w:rPr>
          <w:rFonts w:ascii="Roboto" w:hAnsi="Roboto"/>
          <w:b/>
          <w:sz w:val="18"/>
          <w:szCs w:val="18"/>
          <w:lang w:val="de-DE"/>
        </w:rPr>
        <w:lastRenderedPageBreak/>
        <w:t>Über HBM Test and Measurement</w:t>
      </w:r>
    </w:p>
    <w:p w:rsidR="00C1091B" w:rsidRPr="00F61D0F" w:rsidRDefault="00392006" w:rsidP="009A2149">
      <w:pPr>
        <w:autoSpaceDE w:val="0"/>
        <w:spacing w:after="120" w:line="360" w:lineRule="auto"/>
        <w:ind w:right="1132"/>
        <w:jc w:val="both"/>
        <w:rPr>
          <w:rFonts w:ascii="Roboto" w:hAnsi="Roboto"/>
          <w:sz w:val="18"/>
          <w:szCs w:val="18"/>
          <w:lang w:val="de-DE"/>
        </w:rPr>
      </w:pPr>
      <w:r w:rsidRPr="00F61D0F">
        <w:rPr>
          <w:rFonts w:ascii="Roboto" w:hAnsi="Roboto"/>
          <w:sz w:val="18"/>
          <w:szCs w:val="18"/>
          <w:lang w:val="de-DE"/>
        </w:rPr>
        <w:t>Gegründet 1950 in Deutschland hat sich die Hottinger Baldwin Messtechnik GmbH (HBM Test and Measurement) zum weltweiten Technologie- und Marktführer im Bereich Messtechnik entwickelt. Heute bietet HBM Produkte für die gesamte Messkette, von virtuellen bis zu physikalischen Tests und Prüfungen. Das Unternehmen verfügt über Produktionsstandorte in Deutschland, USA, China und Portugal und ist weltweit in über 80 Ländern vertreten.</w:t>
      </w:r>
    </w:p>
    <w:sectPr w:rsidR="00C1091B" w:rsidRPr="00F61D0F" w:rsidSect="000C3ECC">
      <w:headerReference w:type="default" r:id="rId10"/>
      <w:footerReference w:type="default" r:id="rId11"/>
      <w:pgSz w:w="11906" w:h="16838" w:code="9"/>
      <w:pgMar w:top="2375" w:right="1418" w:bottom="1247" w:left="1418"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F6B" w:rsidRDefault="00F47F6B" w:rsidP="00291A20">
      <w:pPr>
        <w:spacing w:after="0" w:line="240" w:lineRule="auto"/>
      </w:pPr>
      <w:r>
        <w:separator/>
      </w:r>
    </w:p>
  </w:endnote>
  <w:endnote w:type="continuationSeparator" w:id="0">
    <w:p w:rsidR="00F47F6B" w:rsidRDefault="00F47F6B" w:rsidP="00291A20">
      <w:pPr>
        <w:spacing w:after="0" w:line="240" w:lineRule="auto"/>
      </w:pPr>
      <w:r>
        <w:continuationSeparator/>
      </w:r>
    </w:p>
  </w:endnote>
  <w:endnote w:type="continuationNotice" w:id="1">
    <w:p w:rsidR="00F47F6B" w:rsidRDefault="00F47F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libri"/>
    <w:charset w:val="00"/>
    <w:family w:val="auto"/>
    <w:pitch w:val="default"/>
  </w:font>
  <w:font w:name="Roboto Black">
    <w:altName w:val="Times New Roman"/>
    <w:panose1 w:val="02000000000000000000"/>
    <w:charset w:val="00"/>
    <w:family w:val="auto"/>
    <w:pitch w:val="variable"/>
    <w:sig w:usb0="E0000AFF" w:usb1="5000217F" w:usb2="00000021" w:usb3="00000000" w:csb0="0000019F" w:csb1="00000000"/>
  </w:font>
  <w:font w:name="Roboto Light">
    <w:altName w:val="Times New Roman"/>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A20" w:rsidRPr="00155C48" w:rsidRDefault="001C0A87" w:rsidP="00291A20">
    <w:pPr>
      <w:pStyle w:val="Fuzeile"/>
      <w:spacing w:after="0" w:line="180" w:lineRule="atLeast"/>
      <w:rPr>
        <w:rFonts w:ascii="Arial" w:hAnsi="Arial" w:cs="Arial"/>
        <w:sz w:val="14"/>
      </w:rPr>
    </w:pPr>
    <w:r>
      <w:rPr>
        <w:noProof/>
        <w:lang w:val="de-DE"/>
      </w:rPr>
      <mc:AlternateContent>
        <mc:Choice Requires="wps">
          <w:drawing>
            <wp:anchor distT="0" distB="0" distL="114300" distR="114300" simplePos="0" relativeHeight="251659264" behindDoc="0" locked="0" layoutInCell="1" allowOverlap="1" wp14:anchorId="612FDD35" wp14:editId="04462960">
              <wp:simplePos x="0" y="0"/>
              <wp:positionH relativeFrom="column">
                <wp:posOffset>-724535</wp:posOffset>
              </wp:positionH>
              <wp:positionV relativeFrom="paragraph">
                <wp:posOffset>-1938020</wp:posOffset>
              </wp:positionV>
              <wp:extent cx="297815" cy="1224915"/>
              <wp:effectExtent l="0" t="0" r="6985" b="0"/>
              <wp:wrapNone/>
              <wp:docPr id="2"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1224915"/>
                      </a:xfrm>
                      <a:prstGeom prst="rect">
                        <a:avLst/>
                      </a:prstGeom>
                      <a:solidFill>
                        <a:sysClr val="window" lastClr="FFFFFF"/>
                      </a:solidFill>
                      <a:ln w="6350">
                        <a:noFill/>
                      </a:ln>
                      <a:effectLst/>
                    </wps:spPr>
                    <wps:txbx>
                      <w:txbxContent>
                        <w:p w:rsidR="00E651BA" w:rsidRPr="006E44DF" w:rsidRDefault="00124264" w:rsidP="00E651BA">
                          <w:pPr>
                            <w:rPr>
                              <w:rFonts w:ascii="Arial" w:hAnsi="Arial" w:cs="Arial"/>
                              <w:b/>
                              <w:sz w:val="14"/>
                            </w:rPr>
                          </w:pPr>
                          <w:r>
                            <w:rPr>
                              <w:rFonts w:ascii="Arial" w:hAnsi="Arial"/>
                              <w:b/>
                              <w:sz w:val="14"/>
                            </w:rPr>
                            <w:t>HBM: public</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FDD35" id="_x0000_t202" coordsize="21600,21600" o:spt="202" path="m,l,21600r21600,l21600,xe">
              <v:stroke joinstyle="miter"/>
              <v:path gradientshapeok="t" o:connecttype="rect"/>
            </v:shapetype>
            <v:shape id="Textfeld 4" o:spid="_x0000_s1026" type="#_x0000_t202" style="position:absolute;margin-left:-57.05pt;margin-top:-152.6pt;width:23.45pt;height:9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" fillcolor="window" stroked="f" strokeweight=".5pt">
              <v:textbox style="layout-flow:vertical;mso-layout-flow-alt:bottom-to-top">
                <w:txbxContent>
                  <w:p w:rsidR="00E651BA" w:rsidRPr="006E44DF" w:rsidRDefault="00124264" w:rsidP="00E651BA">
                    <w:pPr>
                      <w:rPr>
                        <w:rFonts w:ascii="Arial" w:hAnsi="Arial" w:cs="Arial"/>
                        <w:b/>
                        <w:sz w:val="14"/>
                      </w:rPr>
                    </w:pPr>
                    <w:r>
                      <w:rPr>
                        <w:rFonts w:ascii="Arial" w:hAnsi="Arial"/>
                        <w:b/>
                        <w:sz w:val="14"/>
                      </w:rPr>
                      <w:t>HBM: public</w:t>
                    </w:r>
                  </w:p>
                </w:txbxContent>
              </v:textbox>
            </v:shape>
          </w:pict>
        </mc:Fallback>
      </mc:AlternateContent>
    </w:r>
    <w:r>
      <w:rPr>
        <w:rFonts w:ascii="Arial" w:hAnsi="Arial"/>
        <w:sz w:val="14"/>
      </w:rPr>
      <w:t xml:space="preserve">Managing Director: Andreas Hüllhorst – Chairman of the Board: Eoghan </w:t>
    </w:r>
    <w:proofErr w:type="spellStart"/>
    <w:r>
      <w:rPr>
        <w:rFonts w:ascii="Arial" w:hAnsi="Arial"/>
        <w:sz w:val="14"/>
      </w:rPr>
      <w:t>O’Lionaird</w:t>
    </w:r>
    <w:proofErr w:type="spellEnd"/>
  </w:p>
  <w:p w:rsidR="00291A20" w:rsidRPr="00291A20" w:rsidRDefault="001C0A87" w:rsidP="001C0A87">
    <w:pPr>
      <w:pStyle w:val="Fuzeile"/>
      <w:spacing w:after="0" w:line="180" w:lineRule="atLeast"/>
      <w:rPr>
        <w:rFonts w:ascii="Arial" w:hAnsi="Arial" w:cs="Arial"/>
        <w:sz w:val="14"/>
      </w:rPr>
    </w:pPr>
    <w:r>
      <w:rPr>
        <w:rFonts w:ascii="Arial" w:hAnsi="Arial"/>
        <w:sz w:val="14"/>
      </w:rPr>
      <w:t>Limited liability company, registered in the Darmstadt local court’s commercial register under No. HRB 1147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F6B" w:rsidRDefault="00F47F6B" w:rsidP="00291A20">
      <w:pPr>
        <w:spacing w:after="0" w:line="240" w:lineRule="auto"/>
      </w:pPr>
      <w:r>
        <w:separator/>
      </w:r>
    </w:p>
  </w:footnote>
  <w:footnote w:type="continuationSeparator" w:id="0">
    <w:p w:rsidR="00F47F6B" w:rsidRDefault="00F47F6B" w:rsidP="00291A20">
      <w:pPr>
        <w:spacing w:after="0" w:line="240" w:lineRule="auto"/>
      </w:pPr>
      <w:r>
        <w:continuationSeparator/>
      </w:r>
    </w:p>
  </w:footnote>
  <w:footnote w:type="continuationNotice" w:id="1">
    <w:p w:rsidR="00F47F6B" w:rsidRDefault="00F47F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ECC" w:rsidRDefault="000C3ECC" w:rsidP="000C3ECC">
    <w:pPr>
      <w:pStyle w:val="Kopfzeile"/>
      <w:rPr>
        <w:rFonts w:ascii="Roboto Black" w:hAnsi="Roboto Black"/>
      </w:rPr>
    </w:pPr>
  </w:p>
  <w:p w:rsidR="00630029" w:rsidRPr="000C3ECC" w:rsidRDefault="001C0A87" w:rsidP="000C3ECC">
    <w:pPr>
      <w:pStyle w:val="Kopfzeile"/>
      <w:rPr>
        <w:rFonts w:ascii="Roboto Light" w:hAnsi="Roboto Light"/>
        <w:color w:val="808080" w:themeColor="background1" w:themeShade="80"/>
        <w:sz w:val="36"/>
        <w:szCs w:val="36"/>
      </w:rPr>
    </w:pPr>
    <w:r w:rsidRPr="000C3ECC">
      <w:rPr>
        <w:rFonts w:ascii="Roboto Light" w:hAnsi="Roboto Light"/>
        <w:noProof/>
        <w:color w:val="808080" w:themeColor="background1" w:themeShade="80"/>
        <w:sz w:val="36"/>
        <w:szCs w:val="36"/>
        <w:lang w:val="de-DE"/>
      </w:rPr>
      <w:drawing>
        <wp:anchor distT="0" distB="0" distL="114300" distR="114300" simplePos="0" relativeHeight="251661312" behindDoc="0" locked="0" layoutInCell="1" allowOverlap="1" wp14:anchorId="1A90E9EF" wp14:editId="446B3DD5">
          <wp:simplePos x="0" y="0"/>
          <wp:positionH relativeFrom="page">
            <wp:posOffset>4944110</wp:posOffset>
          </wp:positionH>
          <wp:positionV relativeFrom="page">
            <wp:posOffset>478155</wp:posOffset>
          </wp:positionV>
          <wp:extent cx="823595" cy="823595"/>
          <wp:effectExtent l="0" t="0" r="0" b="0"/>
          <wp:wrapNone/>
          <wp:docPr id="1" name="Bild 5" descr="U:\03_CorporateDesign\02_Logos\HBM Logo rgb\HBM Logo blue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U:\03_CorporateDesign\02_Logos\HBM Logo rgb\HBM Logo blue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823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boto Light" w:hAnsi="Roboto Light"/>
        <w:color w:val="808080" w:themeColor="background1" w:themeShade="80"/>
        <w:sz w:val="36"/>
        <w:szCs w:val="36"/>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53ADC"/>
    <w:multiLevelType w:val="hybridMultilevel"/>
    <w:tmpl w:val="AD869E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BD70A5"/>
    <w:multiLevelType w:val="hybridMultilevel"/>
    <w:tmpl w:val="8A788E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DE7466"/>
    <w:multiLevelType w:val="hybridMultilevel"/>
    <w:tmpl w:val="68C61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F01045"/>
    <w:multiLevelType w:val="multilevel"/>
    <w:tmpl w:val="B56C7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454069"/>
    <w:multiLevelType w:val="hybridMultilevel"/>
    <w:tmpl w:val="97701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6250F4"/>
    <w:multiLevelType w:val="multilevel"/>
    <w:tmpl w:val="B0B4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F4"/>
    <w:rsid w:val="000032EF"/>
    <w:rsid w:val="000052F6"/>
    <w:rsid w:val="00032E34"/>
    <w:rsid w:val="00064A6D"/>
    <w:rsid w:val="00087EFE"/>
    <w:rsid w:val="000C3ECC"/>
    <w:rsid w:val="000C518B"/>
    <w:rsid w:val="001022D9"/>
    <w:rsid w:val="00110345"/>
    <w:rsid w:val="00124264"/>
    <w:rsid w:val="00125C20"/>
    <w:rsid w:val="0013579F"/>
    <w:rsid w:val="00135BB1"/>
    <w:rsid w:val="00152D24"/>
    <w:rsid w:val="00155C48"/>
    <w:rsid w:val="00175BCB"/>
    <w:rsid w:val="00183FB8"/>
    <w:rsid w:val="001B6365"/>
    <w:rsid w:val="001C0A87"/>
    <w:rsid w:val="001D20C1"/>
    <w:rsid w:val="001D4F80"/>
    <w:rsid w:val="001F7363"/>
    <w:rsid w:val="00263DF4"/>
    <w:rsid w:val="00291A20"/>
    <w:rsid w:val="002A72A9"/>
    <w:rsid w:val="002B0BA7"/>
    <w:rsid w:val="002D265C"/>
    <w:rsid w:val="003129ED"/>
    <w:rsid w:val="00383D36"/>
    <w:rsid w:val="00385879"/>
    <w:rsid w:val="00392006"/>
    <w:rsid w:val="00395CD0"/>
    <w:rsid w:val="003A1AEA"/>
    <w:rsid w:val="003D67ED"/>
    <w:rsid w:val="003E1D5B"/>
    <w:rsid w:val="00402034"/>
    <w:rsid w:val="00402D90"/>
    <w:rsid w:val="0042681B"/>
    <w:rsid w:val="0042796B"/>
    <w:rsid w:val="00446F84"/>
    <w:rsid w:val="004529E3"/>
    <w:rsid w:val="00463A44"/>
    <w:rsid w:val="00477FCF"/>
    <w:rsid w:val="0048160F"/>
    <w:rsid w:val="004921BE"/>
    <w:rsid w:val="004E6D6D"/>
    <w:rsid w:val="004F75FA"/>
    <w:rsid w:val="00510E7E"/>
    <w:rsid w:val="00535024"/>
    <w:rsid w:val="005666C4"/>
    <w:rsid w:val="00573383"/>
    <w:rsid w:val="005860DD"/>
    <w:rsid w:val="00586B90"/>
    <w:rsid w:val="00593414"/>
    <w:rsid w:val="00611493"/>
    <w:rsid w:val="00616AD4"/>
    <w:rsid w:val="00630029"/>
    <w:rsid w:val="00683174"/>
    <w:rsid w:val="00683940"/>
    <w:rsid w:val="00686F80"/>
    <w:rsid w:val="006871BF"/>
    <w:rsid w:val="006903D5"/>
    <w:rsid w:val="0069508C"/>
    <w:rsid w:val="006A40E7"/>
    <w:rsid w:val="006E44DF"/>
    <w:rsid w:val="0070382C"/>
    <w:rsid w:val="00715BED"/>
    <w:rsid w:val="00726951"/>
    <w:rsid w:val="007276F0"/>
    <w:rsid w:val="00773DEB"/>
    <w:rsid w:val="0077682B"/>
    <w:rsid w:val="007B33A8"/>
    <w:rsid w:val="007B7F18"/>
    <w:rsid w:val="007C77C0"/>
    <w:rsid w:val="00802453"/>
    <w:rsid w:val="008142B1"/>
    <w:rsid w:val="0082424F"/>
    <w:rsid w:val="00854AC3"/>
    <w:rsid w:val="008B4BB9"/>
    <w:rsid w:val="008D051D"/>
    <w:rsid w:val="0090240F"/>
    <w:rsid w:val="00945BFD"/>
    <w:rsid w:val="00974562"/>
    <w:rsid w:val="0099044F"/>
    <w:rsid w:val="009A2149"/>
    <w:rsid w:val="009A5C4B"/>
    <w:rsid w:val="009A6ECD"/>
    <w:rsid w:val="009D4154"/>
    <w:rsid w:val="009D4172"/>
    <w:rsid w:val="009D6328"/>
    <w:rsid w:val="009E506F"/>
    <w:rsid w:val="00A13197"/>
    <w:rsid w:val="00A14CE3"/>
    <w:rsid w:val="00A513D6"/>
    <w:rsid w:val="00A52DA5"/>
    <w:rsid w:val="00A94223"/>
    <w:rsid w:val="00AA4BF3"/>
    <w:rsid w:val="00AD234E"/>
    <w:rsid w:val="00B14497"/>
    <w:rsid w:val="00B23A61"/>
    <w:rsid w:val="00B24E05"/>
    <w:rsid w:val="00B3046D"/>
    <w:rsid w:val="00B30967"/>
    <w:rsid w:val="00B4420F"/>
    <w:rsid w:val="00B57D9C"/>
    <w:rsid w:val="00B70345"/>
    <w:rsid w:val="00B77598"/>
    <w:rsid w:val="00B8671B"/>
    <w:rsid w:val="00BA0827"/>
    <w:rsid w:val="00BA66F9"/>
    <w:rsid w:val="00BC402D"/>
    <w:rsid w:val="00BC6C3E"/>
    <w:rsid w:val="00BF56DF"/>
    <w:rsid w:val="00C1091B"/>
    <w:rsid w:val="00C14529"/>
    <w:rsid w:val="00C405DE"/>
    <w:rsid w:val="00C93E19"/>
    <w:rsid w:val="00CA5F95"/>
    <w:rsid w:val="00CC065A"/>
    <w:rsid w:val="00CD4455"/>
    <w:rsid w:val="00CF468D"/>
    <w:rsid w:val="00D048BC"/>
    <w:rsid w:val="00D25D0F"/>
    <w:rsid w:val="00D77D24"/>
    <w:rsid w:val="00D81916"/>
    <w:rsid w:val="00D91BD0"/>
    <w:rsid w:val="00DB4FF8"/>
    <w:rsid w:val="00DC62C8"/>
    <w:rsid w:val="00DC6558"/>
    <w:rsid w:val="00DE3839"/>
    <w:rsid w:val="00DE5E36"/>
    <w:rsid w:val="00DF136E"/>
    <w:rsid w:val="00E027DF"/>
    <w:rsid w:val="00E05A8C"/>
    <w:rsid w:val="00E11DA5"/>
    <w:rsid w:val="00E308E4"/>
    <w:rsid w:val="00E3343D"/>
    <w:rsid w:val="00E42DEC"/>
    <w:rsid w:val="00E4537E"/>
    <w:rsid w:val="00E63881"/>
    <w:rsid w:val="00E63DE4"/>
    <w:rsid w:val="00E64B4F"/>
    <w:rsid w:val="00E651BA"/>
    <w:rsid w:val="00E8154F"/>
    <w:rsid w:val="00E92422"/>
    <w:rsid w:val="00EB3D6C"/>
    <w:rsid w:val="00EB7550"/>
    <w:rsid w:val="00EC39C0"/>
    <w:rsid w:val="00EE4E61"/>
    <w:rsid w:val="00EF5829"/>
    <w:rsid w:val="00EF6357"/>
    <w:rsid w:val="00F07D8E"/>
    <w:rsid w:val="00F47F6B"/>
    <w:rsid w:val="00F57E5E"/>
    <w:rsid w:val="00F61D0F"/>
    <w:rsid w:val="00FA36E7"/>
    <w:rsid w:val="00FC6C47"/>
    <w:rsid w:val="00FC76DE"/>
    <w:rsid w:val="00FE0635"/>
    <w:rsid w:val="00FE797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632BD"/>
  <w15:docId w15:val="{0E7F34F5-9748-4634-B44F-A79FED12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91A20"/>
    <w:pPr>
      <w:tabs>
        <w:tab w:val="center" w:pos="4536"/>
        <w:tab w:val="right" w:pos="9072"/>
      </w:tabs>
    </w:pPr>
  </w:style>
  <w:style w:type="character" w:customStyle="1" w:styleId="KopfzeileZchn">
    <w:name w:val="Kopfzeile Zchn"/>
    <w:link w:val="Kopfzeile"/>
    <w:uiPriority w:val="99"/>
    <w:rsid w:val="00291A20"/>
    <w:rPr>
      <w:sz w:val="22"/>
      <w:szCs w:val="22"/>
    </w:rPr>
  </w:style>
  <w:style w:type="paragraph" w:styleId="Fuzeile">
    <w:name w:val="footer"/>
    <w:basedOn w:val="Standard"/>
    <w:link w:val="FuzeileZchn"/>
    <w:uiPriority w:val="99"/>
    <w:unhideWhenUsed/>
    <w:rsid w:val="00291A20"/>
    <w:pPr>
      <w:tabs>
        <w:tab w:val="center" w:pos="4536"/>
        <w:tab w:val="right" w:pos="9072"/>
      </w:tabs>
    </w:pPr>
  </w:style>
  <w:style w:type="character" w:customStyle="1" w:styleId="FuzeileZchn">
    <w:name w:val="Fußzeile Zchn"/>
    <w:link w:val="Fuzeile"/>
    <w:uiPriority w:val="99"/>
    <w:rsid w:val="00291A20"/>
    <w:rPr>
      <w:sz w:val="22"/>
      <w:szCs w:val="22"/>
    </w:rPr>
  </w:style>
  <w:style w:type="paragraph" w:styleId="Listenabsatz">
    <w:name w:val="List Paragraph"/>
    <w:basedOn w:val="Standard"/>
    <w:uiPriority w:val="34"/>
    <w:qFormat/>
    <w:rsid w:val="009A2149"/>
    <w:pPr>
      <w:ind w:left="720"/>
      <w:contextualSpacing/>
    </w:pPr>
  </w:style>
  <w:style w:type="character" w:styleId="Kommentarzeichen">
    <w:name w:val="annotation reference"/>
    <w:basedOn w:val="Absatz-Standardschriftart"/>
    <w:uiPriority w:val="99"/>
    <w:semiHidden/>
    <w:unhideWhenUsed/>
    <w:rsid w:val="00DE3839"/>
    <w:rPr>
      <w:sz w:val="16"/>
      <w:szCs w:val="16"/>
    </w:rPr>
  </w:style>
  <w:style w:type="paragraph" w:styleId="Kommentartext">
    <w:name w:val="annotation text"/>
    <w:basedOn w:val="Standard"/>
    <w:link w:val="KommentartextZchn"/>
    <w:uiPriority w:val="99"/>
    <w:semiHidden/>
    <w:unhideWhenUsed/>
    <w:rsid w:val="00DE383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E3839"/>
  </w:style>
  <w:style w:type="paragraph" w:styleId="Kommentarthema">
    <w:name w:val="annotation subject"/>
    <w:basedOn w:val="Kommentartext"/>
    <w:next w:val="Kommentartext"/>
    <w:link w:val="KommentarthemaZchn"/>
    <w:uiPriority w:val="99"/>
    <w:semiHidden/>
    <w:unhideWhenUsed/>
    <w:rsid w:val="00DE3839"/>
    <w:rPr>
      <w:b/>
      <w:bCs/>
    </w:rPr>
  </w:style>
  <w:style w:type="character" w:customStyle="1" w:styleId="KommentarthemaZchn">
    <w:name w:val="Kommentarthema Zchn"/>
    <w:basedOn w:val="KommentartextZchn"/>
    <w:link w:val="Kommentarthema"/>
    <w:uiPriority w:val="99"/>
    <w:semiHidden/>
    <w:rsid w:val="00DE3839"/>
    <w:rPr>
      <w:b/>
      <w:bCs/>
    </w:rPr>
  </w:style>
  <w:style w:type="paragraph" w:styleId="Sprechblasentext">
    <w:name w:val="Balloon Text"/>
    <w:basedOn w:val="Standard"/>
    <w:link w:val="SprechblasentextZchn"/>
    <w:uiPriority w:val="99"/>
    <w:semiHidden/>
    <w:unhideWhenUsed/>
    <w:rsid w:val="00DE383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3839"/>
    <w:rPr>
      <w:rFonts w:ascii="Tahoma" w:hAnsi="Tahoma" w:cs="Tahoma"/>
      <w:sz w:val="16"/>
      <w:szCs w:val="16"/>
    </w:rPr>
  </w:style>
  <w:style w:type="character" w:styleId="Hyperlink">
    <w:name w:val="Hyperlink"/>
    <w:basedOn w:val="Absatz-Standardschriftart"/>
    <w:uiPriority w:val="99"/>
    <w:unhideWhenUsed/>
    <w:rsid w:val="006871BF"/>
    <w:rPr>
      <w:color w:val="0000FF" w:themeColor="hyperlink"/>
      <w:u w:val="single"/>
    </w:rPr>
  </w:style>
  <w:style w:type="character" w:styleId="BesuchterLink">
    <w:name w:val="FollowedHyperlink"/>
    <w:basedOn w:val="Absatz-Standardschriftart"/>
    <w:uiPriority w:val="99"/>
    <w:semiHidden/>
    <w:unhideWhenUsed/>
    <w:rsid w:val="008142B1"/>
    <w:rPr>
      <w:color w:val="800080" w:themeColor="followedHyperlink"/>
      <w:u w:val="single"/>
    </w:rPr>
  </w:style>
  <w:style w:type="character" w:customStyle="1" w:styleId="apple-converted-space">
    <w:name w:val="apple-converted-space"/>
    <w:basedOn w:val="Absatz-Standardschriftart"/>
    <w:rsid w:val="00D81916"/>
  </w:style>
  <w:style w:type="character" w:styleId="NichtaufgelsteErwhnung">
    <w:name w:val="Unresolved Mention"/>
    <w:basedOn w:val="Absatz-Standardschriftart"/>
    <w:uiPriority w:val="99"/>
    <w:semiHidden/>
    <w:unhideWhenUsed/>
    <w:rsid w:val="00446F84"/>
    <w:rPr>
      <w:color w:val="605E5C"/>
      <w:shd w:val="clear" w:color="auto" w:fill="E1DFDD"/>
    </w:rPr>
  </w:style>
  <w:style w:type="paragraph" w:styleId="HTMLVorformatiert">
    <w:name w:val="HTML Preformatted"/>
    <w:basedOn w:val="Standard"/>
    <w:link w:val="HTMLVorformatiertZchn"/>
    <w:uiPriority w:val="99"/>
    <w:semiHidden/>
    <w:unhideWhenUsed/>
    <w:rsid w:val="00446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de-DE"/>
    </w:rPr>
  </w:style>
  <w:style w:type="character" w:customStyle="1" w:styleId="HTMLVorformatiertZchn">
    <w:name w:val="HTML Vorformatiert Zchn"/>
    <w:basedOn w:val="Absatz-Standardschriftart"/>
    <w:link w:val="HTMLVorformatiert"/>
    <w:uiPriority w:val="99"/>
    <w:semiHidden/>
    <w:rsid w:val="00446F84"/>
    <w:rPr>
      <w:rFonts w:ascii="Courier New" w:hAnsi="Courier New" w:cs="Courier New"/>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2609">
      <w:bodyDiv w:val="1"/>
      <w:marLeft w:val="0"/>
      <w:marRight w:val="0"/>
      <w:marTop w:val="0"/>
      <w:marBottom w:val="0"/>
      <w:divBdr>
        <w:top w:val="none" w:sz="0" w:space="0" w:color="auto"/>
        <w:left w:val="none" w:sz="0" w:space="0" w:color="auto"/>
        <w:bottom w:val="none" w:sz="0" w:space="0" w:color="auto"/>
        <w:right w:val="none" w:sz="0" w:space="0" w:color="auto"/>
      </w:divBdr>
    </w:div>
    <w:div w:id="975061972">
      <w:bodyDiv w:val="1"/>
      <w:marLeft w:val="0"/>
      <w:marRight w:val="0"/>
      <w:marTop w:val="0"/>
      <w:marBottom w:val="0"/>
      <w:divBdr>
        <w:top w:val="none" w:sz="0" w:space="0" w:color="auto"/>
        <w:left w:val="none" w:sz="0" w:space="0" w:color="auto"/>
        <w:bottom w:val="none" w:sz="0" w:space="0" w:color="auto"/>
        <w:right w:val="none" w:sz="0" w:space="0" w:color="auto"/>
      </w:divBdr>
    </w:div>
    <w:div w:id="1480920086">
      <w:bodyDiv w:val="1"/>
      <w:marLeft w:val="0"/>
      <w:marRight w:val="0"/>
      <w:marTop w:val="0"/>
      <w:marBottom w:val="0"/>
      <w:divBdr>
        <w:top w:val="none" w:sz="0" w:space="0" w:color="auto"/>
        <w:left w:val="none" w:sz="0" w:space="0" w:color="auto"/>
        <w:bottom w:val="none" w:sz="0" w:space="0" w:color="auto"/>
        <w:right w:val="none" w:sz="0" w:space="0" w:color="auto"/>
      </w:divBdr>
    </w:div>
    <w:div w:id="191608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bm.com/de/pw15ah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wartmann\AppData\Local\Microsoft\Windows\Temporary%20Internet%20Files\Content.Outlook\5R1U8N2P\PR_Guidelines_Template%20(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AE508-862F-4882-8AD3-B6A1A244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PR_Guidelines_Template (2).dotx</Template>
  <TotalTime>0</TotalTime>
  <Pages>2</Pages>
  <Words>283</Words>
  <Characters>1790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HBM</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Schwartmann, Gilbert</dc:creator>
  <cp:keywords>HBM: public</cp:keywords>
  <cp:lastModifiedBy>Müldner, Lisa</cp:lastModifiedBy>
  <cp:revision>4</cp:revision>
  <cp:lastPrinted>2017-04-24T08:53:00Z</cp:lastPrinted>
  <dcterms:created xsi:type="dcterms:W3CDTF">2019-03-27T16:13:00Z</dcterms:created>
  <dcterms:modified xsi:type="dcterms:W3CDTF">2019-04-03T07:47:00Z</dcterms:modified>
  <cp:category>HBM: public</cp:category>
</cp:coreProperties>
</file>