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E7" w:rsidRPr="009A5C4B" w:rsidRDefault="004A6908" w:rsidP="009D4154">
      <w:pPr>
        <w:spacing w:after="0"/>
        <w:rPr>
          <w:rFonts w:ascii="Roboto" w:hAnsi="Roboto" w:cs="Arial"/>
          <w:b/>
          <w:sz w:val="28"/>
          <w:szCs w:val="28"/>
        </w:rPr>
      </w:pPr>
      <w:r w:rsidRPr="004A6908">
        <w:rPr>
          <w:rFonts w:ascii="Roboto" w:hAnsi="Roboto"/>
          <w:b/>
          <w:sz w:val="28"/>
          <w:szCs w:val="28"/>
        </w:rPr>
        <w:t>Precision in Weighing: The New PW15AHY Single Point Load Cell from HBM with a Ratio of Minimum Verification Interval of 25,000</w:t>
      </w:r>
      <w:r w:rsidR="001B4218">
        <w:rPr>
          <w:rFonts w:ascii="Roboto" w:hAnsi="Roboto"/>
          <w:b/>
          <w:sz w:val="28"/>
          <w:szCs w:val="28"/>
        </w:rPr>
        <w:t xml:space="preserve"> </w:t>
      </w:r>
    </w:p>
    <w:p w:rsidR="00D25D0F" w:rsidRPr="00137B76" w:rsidRDefault="00D25D0F" w:rsidP="00D25D0F">
      <w:pPr>
        <w:spacing w:after="0"/>
        <w:rPr>
          <w:rFonts w:ascii="Roboto" w:hAnsi="Roboto" w:cs="Arial"/>
          <w:b/>
        </w:rPr>
      </w:pPr>
    </w:p>
    <w:p w:rsidR="004A6908" w:rsidRPr="004A6908" w:rsidRDefault="004A6908" w:rsidP="004A6908">
      <w:pPr>
        <w:pStyle w:val="Listenabsatz"/>
        <w:numPr>
          <w:ilvl w:val="0"/>
          <w:numId w:val="6"/>
        </w:numPr>
        <w:spacing w:after="0"/>
        <w:rPr>
          <w:rFonts w:ascii="Roboto" w:hAnsi="Roboto"/>
        </w:rPr>
      </w:pPr>
      <w:r w:rsidRPr="004A6908">
        <w:rPr>
          <w:rFonts w:ascii="Roboto" w:hAnsi="Roboto"/>
        </w:rPr>
        <w:t xml:space="preserve">Accuracy class C3 (multi-range), Y = 25,000 </w:t>
      </w:r>
    </w:p>
    <w:p w:rsidR="004A6908" w:rsidRPr="004A6908" w:rsidRDefault="004A6908" w:rsidP="004A6908">
      <w:pPr>
        <w:pStyle w:val="Listenabsatz"/>
        <w:numPr>
          <w:ilvl w:val="0"/>
          <w:numId w:val="6"/>
        </w:numPr>
        <w:spacing w:after="0"/>
        <w:rPr>
          <w:rFonts w:ascii="Roboto" w:hAnsi="Roboto"/>
        </w:rPr>
      </w:pPr>
      <w:r w:rsidRPr="004A6908">
        <w:rPr>
          <w:rFonts w:ascii="Roboto" w:hAnsi="Roboto"/>
        </w:rPr>
        <w:t>For maximum capacities between 10 and 100 kg</w:t>
      </w:r>
    </w:p>
    <w:p w:rsidR="004A6908" w:rsidRPr="004A6908" w:rsidRDefault="004A6908" w:rsidP="004A6908">
      <w:pPr>
        <w:pStyle w:val="Listenabsatz"/>
        <w:numPr>
          <w:ilvl w:val="0"/>
          <w:numId w:val="6"/>
        </w:numPr>
        <w:spacing w:after="0"/>
        <w:rPr>
          <w:rFonts w:ascii="Roboto" w:hAnsi="Roboto"/>
        </w:rPr>
      </w:pPr>
      <w:r w:rsidRPr="004A6908">
        <w:rPr>
          <w:rFonts w:ascii="Roboto" w:hAnsi="Roboto"/>
        </w:rPr>
        <w:t>Degree of protection IP68/69k, metal encapsulation</w:t>
      </w:r>
    </w:p>
    <w:p w:rsidR="00A94223" w:rsidRPr="004A6908" w:rsidRDefault="00A94223" w:rsidP="009A2149">
      <w:pPr>
        <w:spacing w:after="0"/>
        <w:rPr>
          <w:rFonts w:ascii="Roboto" w:hAnsi="Roboto" w:cs="Arial"/>
        </w:rPr>
      </w:pPr>
    </w:p>
    <w:p w:rsidR="004A6908" w:rsidRDefault="004A6908" w:rsidP="004A6908">
      <w:pPr>
        <w:spacing w:after="0"/>
        <w:rPr>
          <w:rFonts w:ascii="Roboto" w:hAnsi="Roboto"/>
          <w:b/>
        </w:rPr>
      </w:pPr>
      <w:r w:rsidRPr="004A6908">
        <w:rPr>
          <w:rFonts w:ascii="Roboto" w:hAnsi="Roboto"/>
          <w:b/>
        </w:rPr>
        <w:t>HBM has expanded its portfolio of legal for trade load cells in the SP4 standard dimensions:  The new PW15AHY single point load cell has a ratio of minimum verification interval (Y) of up to 25,000 and allows weighing processes in the hi</w:t>
      </w:r>
      <w:r>
        <w:rPr>
          <w:rFonts w:ascii="Roboto" w:hAnsi="Roboto"/>
          <w:b/>
        </w:rPr>
        <w:t>ghest possible resolution.</w:t>
      </w:r>
    </w:p>
    <w:p w:rsidR="004A6908" w:rsidRPr="004A6908" w:rsidRDefault="004A6908" w:rsidP="004A6908">
      <w:pPr>
        <w:spacing w:after="0"/>
        <w:rPr>
          <w:rFonts w:ascii="Roboto" w:hAnsi="Roboto"/>
          <w:b/>
        </w:rPr>
      </w:pPr>
    </w:p>
    <w:p w:rsidR="00FA36E7" w:rsidRPr="004A6908" w:rsidRDefault="004A6908" w:rsidP="004A6908">
      <w:pPr>
        <w:spacing w:after="0"/>
        <w:rPr>
          <w:rFonts w:ascii="Roboto" w:hAnsi="Roboto"/>
        </w:rPr>
      </w:pPr>
      <w:r w:rsidRPr="004A6908">
        <w:rPr>
          <w:rFonts w:ascii="Roboto" w:hAnsi="Roboto"/>
        </w:rPr>
        <w:t>The PW15AHY is typically implemented in automatic weighing systems in industrial settings, in shop-counter scales, or in other applications with a wide measuring range. The single point load cell possesses a stable measuring body made of stainless steel, a protection level of IP68/IP69k</w:t>
      </w:r>
      <w:r w:rsidR="00905549">
        <w:rPr>
          <w:rFonts w:ascii="Roboto" w:hAnsi="Roboto"/>
        </w:rPr>
        <w:t>,</w:t>
      </w:r>
      <w:r w:rsidRPr="004A6908">
        <w:rPr>
          <w:rFonts w:ascii="Roboto" w:hAnsi="Roboto"/>
        </w:rPr>
        <w:t xml:space="preserve"> as well as hermetic metal casing. This ensures reliable measurement results even under adverse conditions, or when the load cell is used in areas with constantly high levels of humidity. Like other HBM load cells, the PW15AHY relies on 6-wire technology</w:t>
      </w:r>
      <w:r w:rsidR="00F9466D">
        <w:rPr>
          <w:rFonts w:ascii="Roboto" w:hAnsi="Roboto"/>
        </w:rPr>
        <w:t>,</w:t>
      </w:r>
      <w:r w:rsidRPr="004A6908">
        <w:rPr>
          <w:rFonts w:ascii="Roboto" w:hAnsi="Roboto"/>
        </w:rPr>
        <w:t xml:space="preserve"> guaranteeing high signal stability. </w:t>
      </w:r>
      <w:r w:rsidR="003B6643" w:rsidRPr="004A6908">
        <w:rPr>
          <w:rFonts w:ascii="Roboto" w:hAnsi="Roboto"/>
        </w:rPr>
        <w:t xml:space="preserve">    </w:t>
      </w:r>
    </w:p>
    <w:p w:rsidR="00AA4BF3" w:rsidRPr="00137B76" w:rsidRDefault="00AA4BF3" w:rsidP="007B33A8">
      <w:pPr>
        <w:spacing w:after="0"/>
        <w:rPr>
          <w:rFonts w:ascii="Roboto" w:hAnsi="Roboto"/>
        </w:rPr>
      </w:pPr>
    </w:p>
    <w:p w:rsidR="00556EA1" w:rsidRPr="004A6908" w:rsidRDefault="004A6908" w:rsidP="00247E21">
      <w:pPr>
        <w:rPr>
          <w:rFonts w:ascii="Roboto" w:hAnsi="Roboto"/>
          <w:b/>
        </w:rPr>
      </w:pPr>
      <w:r w:rsidRPr="004A6908">
        <w:rPr>
          <w:rFonts w:ascii="Roboto" w:hAnsi="Roboto"/>
          <w:b/>
        </w:rPr>
        <w:t>Versatile and simple to integrate</w:t>
      </w:r>
      <w:r>
        <w:rPr>
          <w:rFonts w:ascii="Roboto" w:hAnsi="Roboto"/>
          <w:b/>
        </w:rPr>
        <w:br/>
      </w:r>
      <w:r w:rsidRPr="004A6908">
        <w:rPr>
          <w:rFonts w:ascii="Roboto" w:hAnsi="Roboto"/>
        </w:rPr>
        <w:t xml:space="preserve">PW15AHY is available with four maximum capacities (10, 20, 50 and 100 kg) and is designed in accordance </w:t>
      </w:r>
      <w:r w:rsidR="00F03853">
        <w:rPr>
          <w:rFonts w:ascii="Roboto" w:hAnsi="Roboto"/>
        </w:rPr>
        <w:t xml:space="preserve">with </w:t>
      </w:r>
      <w:r w:rsidRPr="004A6908">
        <w:rPr>
          <w:rFonts w:ascii="Roboto" w:hAnsi="Roboto"/>
        </w:rPr>
        <w:t xml:space="preserve">the industry-specific standard dimensions </w:t>
      </w:r>
      <w:r w:rsidR="00F03853">
        <w:rPr>
          <w:rFonts w:ascii="Roboto" w:hAnsi="Roboto"/>
        </w:rPr>
        <w:t>that</w:t>
      </w:r>
      <w:r w:rsidRPr="004A6908">
        <w:rPr>
          <w:rFonts w:ascii="Roboto" w:hAnsi="Roboto"/>
        </w:rPr>
        <w:t xml:space="preserve"> significantly facilitate the integration into existing systems. The </w:t>
      </w:r>
      <w:r w:rsidR="00C46764">
        <w:rPr>
          <w:rFonts w:ascii="Roboto" w:hAnsi="Roboto"/>
        </w:rPr>
        <w:t xml:space="preserve">load cell </w:t>
      </w:r>
      <w:r w:rsidRPr="004A6908">
        <w:rPr>
          <w:rFonts w:ascii="Roboto" w:hAnsi="Roboto"/>
        </w:rPr>
        <w:t>is also available with a connector plug</w:t>
      </w:r>
      <w:r w:rsidR="00C46764">
        <w:rPr>
          <w:rFonts w:ascii="Roboto" w:hAnsi="Roboto"/>
        </w:rPr>
        <w:t xml:space="preserve"> (</w:t>
      </w:r>
      <w:r w:rsidR="00C46764" w:rsidRPr="004A6908">
        <w:rPr>
          <w:rFonts w:ascii="Roboto" w:hAnsi="Roboto"/>
        </w:rPr>
        <w:t>PW15PHY</w:t>
      </w:r>
      <w:r w:rsidR="00C46764">
        <w:rPr>
          <w:rFonts w:ascii="Roboto" w:hAnsi="Roboto"/>
        </w:rPr>
        <w:t>)</w:t>
      </w:r>
      <w:r w:rsidRPr="004A6908">
        <w:rPr>
          <w:rFonts w:ascii="Roboto" w:hAnsi="Roboto"/>
        </w:rPr>
        <w:t>.</w:t>
      </w:r>
    </w:p>
    <w:p w:rsidR="00F832AD" w:rsidRDefault="006871BF" w:rsidP="006871BF">
      <w:pPr>
        <w:spacing w:after="0"/>
        <w:rPr>
          <w:rStyle w:val="Hyperlink"/>
        </w:rPr>
      </w:pPr>
      <w:r>
        <w:rPr>
          <w:rFonts w:ascii="Roboto" w:hAnsi="Roboto"/>
        </w:rPr>
        <w:t xml:space="preserve">For further information about the product visit: </w:t>
      </w:r>
      <w:hyperlink r:id="rId8" w:history="1">
        <w:r w:rsidR="00F832AD" w:rsidRPr="00443449">
          <w:rPr>
            <w:rStyle w:val="Hyperlink"/>
          </w:rPr>
          <w:t>https://www.hbm.com/pw15ahy</w:t>
        </w:r>
      </w:hyperlink>
      <w:r w:rsidR="00F832AD">
        <w:rPr>
          <w:rStyle w:val="Hyperlink"/>
        </w:rPr>
        <w:t xml:space="preserve"> </w:t>
      </w:r>
    </w:p>
    <w:p w:rsidR="008142B1" w:rsidRPr="00F61D0F" w:rsidRDefault="00137B76" w:rsidP="006871BF">
      <w:pPr>
        <w:spacing w:after="0"/>
        <w:rPr>
          <w:rFonts w:ascii="Roboto" w:hAnsi="Roboto"/>
        </w:rPr>
      </w:pPr>
      <w:r w:rsidRPr="00876C98">
        <w:br/>
      </w:r>
      <w:bookmarkStart w:id="0" w:name="_GoBack"/>
      <w:r w:rsidR="001C2B5D">
        <w:rPr>
          <w:rFonts w:ascii="Roboto" w:hAnsi="Roboto"/>
          <w:noProof/>
        </w:rPr>
        <w:drawing>
          <wp:inline distT="0" distB="0" distL="0" distR="0">
            <wp:extent cx="3106420" cy="23400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_PW15AHC3-50KG_002.jpg"/>
                    <pic:cNvPicPr/>
                  </pic:nvPicPr>
                  <pic:blipFill rotWithShape="1">
                    <a:blip r:embed="rId9" cstate="print">
                      <a:extLst>
                        <a:ext uri="{28A0092B-C50C-407E-A947-70E740481C1C}">
                          <a14:useLocalDpi xmlns:a14="http://schemas.microsoft.com/office/drawing/2010/main" val="0"/>
                        </a:ext>
                      </a:extLst>
                    </a:blip>
                    <a:srcRect t="-6" b="-6"/>
                    <a:stretch/>
                  </pic:blipFill>
                  <pic:spPr bwMode="auto">
                    <a:xfrm>
                      <a:off x="0" y="0"/>
                      <a:ext cx="3106800" cy="234028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16AD4" w:rsidRPr="00F61D0F" w:rsidRDefault="00C46764" w:rsidP="00392006">
      <w:pPr>
        <w:spacing w:after="0"/>
        <w:rPr>
          <w:rFonts w:ascii="Roboto" w:hAnsi="Roboto"/>
        </w:rPr>
      </w:pPr>
      <w:r>
        <w:rPr>
          <w:rFonts w:ascii="Roboto" w:hAnsi="Roboto"/>
          <w:sz w:val="18"/>
          <w:szCs w:val="18"/>
        </w:rPr>
        <w:t>PW15AH</w:t>
      </w:r>
      <w:r w:rsidRPr="00C46764">
        <w:rPr>
          <w:rFonts w:ascii="Roboto" w:hAnsi="Roboto"/>
          <w:sz w:val="18"/>
          <w:szCs w:val="18"/>
        </w:rPr>
        <w:t xml:space="preserve"> </w:t>
      </w:r>
      <w:r>
        <w:rPr>
          <w:rFonts w:ascii="Roboto" w:hAnsi="Roboto"/>
          <w:sz w:val="18"/>
          <w:szCs w:val="18"/>
        </w:rPr>
        <w:t xml:space="preserve">is now also available with a </w:t>
      </w:r>
      <w:r w:rsidR="00F03853">
        <w:rPr>
          <w:rFonts w:ascii="Roboto" w:hAnsi="Roboto"/>
          <w:sz w:val="18"/>
          <w:szCs w:val="18"/>
        </w:rPr>
        <w:t>m</w:t>
      </w:r>
      <w:r w:rsidRPr="00C46764">
        <w:rPr>
          <w:rFonts w:ascii="Roboto" w:hAnsi="Roboto"/>
          <w:sz w:val="18"/>
          <w:szCs w:val="18"/>
        </w:rPr>
        <w:t xml:space="preserve">inimum </w:t>
      </w:r>
      <w:r w:rsidR="00F03853">
        <w:rPr>
          <w:rFonts w:ascii="Roboto" w:hAnsi="Roboto"/>
          <w:sz w:val="18"/>
          <w:szCs w:val="18"/>
        </w:rPr>
        <w:t>ve</w:t>
      </w:r>
      <w:r w:rsidRPr="00C46764">
        <w:rPr>
          <w:rFonts w:ascii="Roboto" w:hAnsi="Roboto"/>
          <w:sz w:val="18"/>
          <w:szCs w:val="18"/>
        </w:rPr>
        <w:t xml:space="preserve">rification </w:t>
      </w:r>
      <w:r w:rsidR="00F03853">
        <w:rPr>
          <w:rFonts w:ascii="Roboto" w:hAnsi="Roboto"/>
          <w:sz w:val="18"/>
          <w:szCs w:val="18"/>
        </w:rPr>
        <w:t>i</w:t>
      </w:r>
      <w:r w:rsidRPr="00C46764">
        <w:rPr>
          <w:rFonts w:ascii="Roboto" w:hAnsi="Roboto"/>
          <w:sz w:val="18"/>
          <w:szCs w:val="18"/>
        </w:rPr>
        <w:t xml:space="preserve">nterval </w:t>
      </w:r>
      <w:r>
        <w:rPr>
          <w:rFonts w:ascii="Roboto" w:hAnsi="Roboto"/>
          <w:sz w:val="18"/>
          <w:szCs w:val="18"/>
        </w:rPr>
        <w:t xml:space="preserve">(Y) </w:t>
      </w:r>
      <w:r w:rsidRPr="00C46764">
        <w:rPr>
          <w:rFonts w:ascii="Roboto" w:hAnsi="Roboto"/>
          <w:sz w:val="18"/>
          <w:szCs w:val="18"/>
        </w:rPr>
        <w:t xml:space="preserve">of 25,000 </w:t>
      </w:r>
      <w:r w:rsidR="00FB056E">
        <w:rPr>
          <w:rFonts w:ascii="Roboto" w:hAnsi="Roboto"/>
          <w:sz w:val="18"/>
          <w:szCs w:val="18"/>
        </w:rPr>
        <w:t>(Image: HBM)</w:t>
      </w:r>
    </w:p>
    <w:p w:rsidR="006574C1" w:rsidRDefault="006574C1">
      <w:pPr>
        <w:spacing w:after="0" w:line="240" w:lineRule="auto"/>
        <w:rPr>
          <w:rFonts w:ascii="Roboto" w:hAnsi="Roboto"/>
          <w:b/>
          <w:lang w:eastAsia="en-US"/>
        </w:rPr>
      </w:pPr>
      <w:r>
        <w:rPr>
          <w:rFonts w:ascii="Roboto" w:hAnsi="Roboto"/>
          <w:b/>
          <w:lang w:eastAsia="en-US"/>
        </w:rPr>
        <w:br w:type="page"/>
      </w:r>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lastRenderedPageBreak/>
        <w:t>About HBM Test and Measurement</w:t>
      </w:r>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08" w:rsidRDefault="00C51B08" w:rsidP="00291A20">
      <w:pPr>
        <w:spacing w:after="0" w:line="240" w:lineRule="auto"/>
      </w:pPr>
      <w:r>
        <w:separator/>
      </w:r>
    </w:p>
  </w:endnote>
  <w:endnote w:type="continuationSeparator" w:id="0">
    <w:p w:rsidR="00C51B08" w:rsidRDefault="00C51B08" w:rsidP="00291A20">
      <w:pPr>
        <w:spacing w:after="0" w:line="240" w:lineRule="auto"/>
      </w:pPr>
      <w:r>
        <w:continuationSeparator/>
      </w:r>
    </w:p>
  </w:endnote>
  <w:endnote w:type="continuationNotice" w:id="1">
    <w:p w:rsidR="00C51B08" w:rsidRDefault="00C51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DD35"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" fillcolor="window" stroked="f" strokeweight=".5p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Eoghan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08" w:rsidRDefault="00C51B08" w:rsidP="00291A20">
      <w:pPr>
        <w:spacing w:after="0" w:line="240" w:lineRule="auto"/>
      </w:pPr>
      <w:r>
        <w:separator/>
      </w:r>
    </w:p>
  </w:footnote>
  <w:footnote w:type="continuationSeparator" w:id="0">
    <w:p w:rsidR="00C51B08" w:rsidRDefault="00C51B08" w:rsidP="00291A20">
      <w:pPr>
        <w:spacing w:after="0" w:line="240" w:lineRule="auto"/>
      </w:pPr>
      <w:r>
        <w:continuationSeparator/>
      </w:r>
    </w:p>
  </w:footnote>
  <w:footnote w:type="continuationNotice" w:id="1">
    <w:p w:rsidR="00C51B08" w:rsidRDefault="00C51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7B0163"/>
    <w:multiLevelType w:val="hybridMultilevel"/>
    <w:tmpl w:val="A4364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DF4"/>
    <w:rsid w:val="000032EF"/>
    <w:rsid w:val="000052F6"/>
    <w:rsid w:val="0002244D"/>
    <w:rsid w:val="00032E34"/>
    <w:rsid w:val="00064A6D"/>
    <w:rsid w:val="00087EFE"/>
    <w:rsid w:val="000C3ECC"/>
    <w:rsid w:val="000C518B"/>
    <w:rsid w:val="001022D9"/>
    <w:rsid w:val="00110345"/>
    <w:rsid w:val="00124264"/>
    <w:rsid w:val="00125C20"/>
    <w:rsid w:val="00133576"/>
    <w:rsid w:val="0013579F"/>
    <w:rsid w:val="00135BB1"/>
    <w:rsid w:val="00137B76"/>
    <w:rsid w:val="00155C48"/>
    <w:rsid w:val="001727BB"/>
    <w:rsid w:val="00175BCB"/>
    <w:rsid w:val="00183FB8"/>
    <w:rsid w:val="001B4218"/>
    <w:rsid w:val="001B6365"/>
    <w:rsid w:val="001C0A87"/>
    <w:rsid w:val="001C2B5D"/>
    <w:rsid w:val="001D20C1"/>
    <w:rsid w:val="001D4F80"/>
    <w:rsid w:val="001F7363"/>
    <w:rsid w:val="00247E21"/>
    <w:rsid w:val="00263DF4"/>
    <w:rsid w:val="00291A20"/>
    <w:rsid w:val="002A72A9"/>
    <w:rsid w:val="002B0BA7"/>
    <w:rsid w:val="002D265C"/>
    <w:rsid w:val="003129ED"/>
    <w:rsid w:val="0031305D"/>
    <w:rsid w:val="0034408D"/>
    <w:rsid w:val="003614E4"/>
    <w:rsid w:val="003642E9"/>
    <w:rsid w:val="00383D36"/>
    <w:rsid w:val="00385879"/>
    <w:rsid w:val="00392006"/>
    <w:rsid w:val="00395CD0"/>
    <w:rsid w:val="003A0E35"/>
    <w:rsid w:val="003A1AEA"/>
    <w:rsid w:val="003A5EA9"/>
    <w:rsid w:val="003B6643"/>
    <w:rsid w:val="003C11A3"/>
    <w:rsid w:val="003D67ED"/>
    <w:rsid w:val="003E1D5B"/>
    <w:rsid w:val="00402034"/>
    <w:rsid w:val="00402D90"/>
    <w:rsid w:val="0042796B"/>
    <w:rsid w:val="004529E3"/>
    <w:rsid w:val="00463A44"/>
    <w:rsid w:val="00477FCF"/>
    <w:rsid w:val="004808AE"/>
    <w:rsid w:val="0048160F"/>
    <w:rsid w:val="004A2A55"/>
    <w:rsid w:val="004A6908"/>
    <w:rsid w:val="004E6D6D"/>
    <w:rsid w:val="004F75FA"/>
    <w:rsid w:val="00510E7E"/>
    <w:rsid w:val="005136C7"/>
    <w:rsid w:val="00535024"/>
    <w:rsid w:val="0055516F"/>
    <w:rsid w:val="00556EA1"/>
    <w:rsid w:val="005666C4"/>
    <w:rsid w:val="00573383"/>
    <w:rsid w:val="005815FC"/>
    <w:rsid w:val="005860DD"/>
    <w:rsid w:val="00586B90"/>
    <w:rsid w:val="00593414"/>
    <w:rsid w:val="005D3075"/>
    <w:rsid w:val="00611493"/>
    <w:rsid w:val="00616AD4"/>
    <w:rsid w:val="00630029"/>
    <w:rsid w:val="00631591"/>
    <w:rsid w:val="006574C1"/>
    <w:rsid w:val="00683174"/>
    <w:rsid w:val="00683940"/>
    <w:rsid w:val="00686F80"/>
    <w:rsid w:val="006871BF"/>
    <w:rsid w:val="006903D5"/>
    <w:rsid w:val="0069508C"/>
    <w:rsid w:val="006A40E7"/>
    <w:rsid w:val="006D7C39"/>
    <w:rsid w:val="006E44DF"/>
    <w:rsid w:val="0070382C"/>
    <w:rsid w:val="0071073C"/>
    <w:rsid w:val="00715BED"/>
    <w:rsid w:val="00726951"/>
    <w:rsid w:val="0072764B"/>
    <w:rsid w:val="007276F0"/>
    <w:rsid w:val="00772E88"/>
    <w:rsid w:val="00773DEB"/>
    <w:rsid w:val="0077682B"/>
    <w:rsid w:val="007A30E2"/>
    <w:rsid w:val="007B33A8"/>
    <w:rsid w:val="007B7F18"/>
    <w:rsid w:val="00802453"/>
    <w:rsid w:val="00803AA5"/>
    <w:rsid w:val="008142B1"/>
    <w:rsid w:val="0082424F"/>
    <w:rsid w:val="00854AC3"/>
    <w:rsid w:val="00876C98"/>
    <w:rsid w:val="00886032"/>
    <w:rsid w:val="008945A8"/>
    <w:rsid w:val="008B2191"/>
    <w:rsid w:val="008B4BB9"/>
    <w:rsid w:val="008D051D"/>
    <w:rsid w:val="008D5A1A"/>
    <w:rsid w:val="008E27FF"/>
    <w:rsid w:val="008E6E67"/>
    <w:rsid w:val="0090240F"/>
    <w:rsid w:val="00905549"/>
    <w:rsid w:val="00913DC8"/>
    <w:rsid w:val="00945BFD"/>
    <w:rsid w:val="00974562"/>
    <w:rsid w:val="0099044F"/>
    <w:rsid w:val="009A2149"/>
    <w:rsid w:val="009A5C4B"/>
    <w:rsid w:val="009A6ECD"/>
    <w:rsid w:val="009D4154"/>
    <w:rsid w:val="009D4172"/>
    <w:rsid w:val="009D6328"/>
    <w:rsid w:val="009E506F"/>
    <w:rsid w:val="009F5AEC"/>
    <w:rsid w:val="00A13197"/>
    <w:rsid w:val="00A14CE3"/>
    <w:rsid w:val="00A513D6"/>
    <w:rsid w:val="00A52DA5"/>
    <w:rsid w:val="00A5486A"/>
    <w:rsid w:val="00A90EEE"/>
    <w:rsid w:val="00A94223"/>
    <w:rsid w:val="00AA4BF3"/>
    <w:rsid w:val="00AD234E"/>
    <w:rsid w:val="00B14497"/>
    <w:rsid w:val="00B23A61"/>
    <w:rsid w:val="00B24E05"/>
    <w:rsid w:val="00B3046D"/>
    <w:rsid w:val="00B30967"/>
    <w:rsid w:val="00B33157"/>
    <w:rsid w:val="00B4420F"/>
    <w:rsid w:val="00B572DD"/>
    <w:rsid w:val="00B57D9C"/>
    <w:rsid w:val="00B70345"/>
    <w:rsid w:val="00B77598"/>
    <w:rsid w:val="00B8671B"/>
    <w:rsid w:val="00BA0827"/>
    <w:rsid w:val="00BA66F9"/>
    <w:rsid w:val="00BC402D"/>
    <w:rsid w:val="00BC6C3E"/>
    <w:rsid w:val="00BE1F6E"/>
    <w:rsid w:val="00BE6642"/>
    <w:rsid w:val="00BF56DF"/>
    <w:rsid w:val="00C1091B"/>
    <w:rsid w:val="00C14529"/>
    <w:rsid w:val="00C405DE"/>
    <w:rsid w:val="00C46764"/>
    <w:rsid w:val="00C51B08"/>
    <w:rsid w:val="00C51B71"/>
    <w:rsid w:val="00C51F63"/>
    <w:rsid w:val="00C93E19"/>
    <w:rsid w:val="00CA5F95"/>
    <w:rsid w:val="00CC065A"/>
    <w:rsid w:val="00CD4455"/>
    <w:rsid w:val="00CF468D"/>
    <w:rsid w:val="00D048BC"/>
    <w:rsid w:val="00D25D0F"/>
    <w:rsid w:val="00D77D24"/>
    <w:rsid w:val="00D81916"/>
    <w:rsid w:val="00D91BD0"/>
    <w:rsid w:val="00DB4FF8"/>
    <w:rsid w:val="00DC62C8"/>
    <w:rsid w:val="00DC6558"/>
    <w:rsid w:val="00DD3C44"/>
    <w:rsid w:val="00DE3839"/>
    <w:rsid w:val="00DE5E36"/>
    <w:rsid w:val="00DF136E"/>
    <w:rsid w:val="00DF783A"/>
    <w:rsid w:val="00E027DF"/>
    <w:rsid w:val="00E05A8C"/>
    <w:rsid w:val="00E11DA5"/>
    <w:rsid w:val="00E308E4"/>
    <w:rsid w:val="00E3343D"/>
    <w:rsid w:val="00E42DEC"/>
    <w:rsid w:val="00E4537E"/>
    <w:rsid w:val="00E63881"/>
    <w:rsid w:val="00E63DE4"/>
    <w:rsid w:val="00E64B4F"/>
    <w:rsid w:val="00E651BA"/>
    <w:rsid w:val="00E74D95"/>
    <w:rsid w:val="00E8154F"/>
    <w:rsid w:val="00E817EA"/>
    <w:rsid w:val="00E92422"/>
    <w:rsid w:val="00EB3D6C"/>
    <w:rsid w:val="00EB7550"/>
    <w:rsid w:val="00EC39C0"/>
    <w:rsid w:val="00EE4E61"/>
    <w:rsid w:val="00EF5829"/>
    <w:rsid w:val="00EF6357"/>
    <w:rsid w:val="00F03853"/>
    <w:rsid w:val="00F07D8E"/>
    <w:rsid w:val="00F265E4"/>
    <w:rsid w:val="00F5215D"/>
    <w:rsid w:val="00F57E5E"/>
    <w:rsid w:val="00F61D0F"/>
    <w:rsid w:val="00F832AD"/>
    <w:rsid w:val="00F9466D"/>
    <w:rsid w:val="00FA36E7"/>
    <w:rsid w:val="00FB056E"/>
    <w:rsid w:val="00FB5E0B"/>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95D40-ACA9-49C0-BC42-C8A98125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 w:type="character" w:styleId="NichtaufgelsteErwhnung">
    <w:name w:val="Unresolved Mention"/>
    <w:basedOn w:val="Absatz-Standardschriftart"/>
    <w:uiPriority w:val="99"/>
    <w:semiHidden/>
    <w:unhideWhenUsed/>
    <w:rsid w:val="00F83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pw15ah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E951-EA46-468E-AA51-7A5C6B32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Müldner, Lisa</cp:lastModifiedBy>
  <cp:revision>3</cp:revision>
  <cp:lastPrinted>2017-04-24T08:53:00Z</cp:lastPrinted>
  <dcterms:created xsi:type="dcterms:W3CDTF">2019-03-27T13:56:00Z</dcterms:created>
  <dcterms:modified xsi:type="dcterms:W3CDTF">2019-04-03T07:47:00Z</dcterms:modified>
  <cp:category>HBM: public</cp:category>
</cp:coreProperties>
</file>